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153" w:val="left" w:leader="none"/>
        </w:tabs>
        <w:spacing w:before="73"/>
        <w:ind w:left="101" w:right="120" w:firstLine="0"/>
        <w:jc w:val="left"/>
        <w:rPr>
          <w:rFonts w:ascii="Eras Bold ITC" w:hAnsi="Eras Bold ITC"/>
          <w:b/>
          <w:sz w:val="20"/>
        </w:rPr>
      </w:pPr>
      <w:bookmarkStart w:name="760" w:id="1"/>
      <w:bookmarkEnd w:id="1"/>
      <w:r>
        <w:rPr/>
      </w:r>
      <w:r>
        <w:rPr>
          <w:rFonts w:ascii="Eras Bold ITC" w:hAnsi="Eras Bold ITC"/>
          <w:b/>
          <w:sz w:val="20"/>
        </w:rPr>
        <w:t>EL    C.   LIC.   NICOLÁS  </w:t>
      </w:r>
      <w:r>
        <w:rPr>
          <w:rFonts w:ascii="Eras Bold ITC" w:hAnsi="Eras Bold ITC"/>
          <w:b/>
          <w:spacing w:val="5"/>
          <w:sz w:val="20"/>
        </w:rPr>
        <w:t> </w:t>
      </w:r>
      <w:r>
        <w:rPr>
          <w:rFonts w:ascii="Eras Bold ITC" w:hAnsi="Eras Bold ITC"/>
          <w:b/>
          <w:sz w:val="20"/>
        </w:rPr>
        <w:t>MAESTRO  </w:t>
      </w:r>
      <w:r>
        <w:rPr>
          <w:rFonts w:ascii="Eras Bold ITC" w:hAnsi="Eras Bold ITC"/>
          <w:b/>
          <w:spacing w:val="14"/>
          <w:sz w:val="20"/>
        </w:rPr>
        <w:t> </w:t>
      </w:r>
      <w:r>
        <w:rPr>
          <w:rFonts w:ascii="Eras Bold ITC" w:hAnsi="Eras Bold ITC"/>
          <w:b/>
          <w:sz w:val="20"/>
        </w:rPr>
        <w:t>LANDEROS,</w:t>
        <w:tab/>
        <w:t>SECRETARIO GENERAL DEL H. AYUNTAMIENTO CONSTITUCIONAL DE TONALÁ, JALISCO; HACE CONSTAR</w:t>
      </w:r>
      <w:r>
        <w:rPr>
          <w:rFonts w:ascii="Eras Bold ITC" w:hAnsi="Eras Bold ITC"/>
          <w:b/>
          <w:spacing w:val="-9"/>
          <w:sz w:val="20"/>
        </w:rPr>
        <w:t> </w:t>
      </w:r>
      <w:r>
        <w:rPr>
          <w:rFonts w:ascii="Eras Bold ITC" w:hAnsi="Eras Bold ITC"/>
          <w:b/>
          <w:sz w:val="20"/>
        </w:rPr>
        <w:t>Y----------</w:t>
      </w:r>
    </w:p>
    <w:p>
      <w:pPr>
        <w:spacing w:before="1"/>
        <w:ind w:left="101" w:right="0" w:firstLine="0"/>
        <w:jc w:val="left"/>
        <w:rPr>
          <w:rFonts w:ascii="Eras Bold ITC"/>
          <w:b/>
          <w:sz w:val="20"/>
        </w:rPr>
      </w:pPr>
      <w:r>
        <w:rPr>
          <w:rFonts w:ascii="Eras Bold ITC"/>
          <w:b/>
          <w:sz w:val="20"/>
        </w:rPr>
        <w:t>-------------------------------------------------------</w:t>
      </w:r>
    </w:p>
    <w:p>
      <w:pPr>
        <w:pStyle w:val="BodyText"/>
        <w:spacing w:before="8"/>
        <w:rPr>
          <w:rFonts w:ascii="Eras Bold ITC"/>
          <w:b/>
          <w:sz w:val="15"/>
        </w:rPr>
      </w:pPr>
    </w:p>
    <w:p>
      <w:pPr>
        <w:spacing w:before="100"/>
        <w:ind w:left="97" w:right="118" w:firstLine="0"/>
        <w:jc w:val="center"/>
        <w:rPr>
          <w:rFonts w:ascii="Lucida Calligraphy"/>
          <w:i/>
          <w:sz w:val="24"/>
        </w:rPr>
      </w:pPr>
      <w:r>
        <w:rPr>
          <w:rFonts w:ascii="Lucida Calligraphy"/>
          <w:i/>
          <w:sz w:val="24"/>
        </w:rPr>
        <w:t>C E R T I F I C A</w:t>
      </w:r>
    </w:p>
    <w:p>
      <w:pPr>
        <w:spacing w:before="278"/>
        <w:ind w:left="101" w:right="120" w:firstLine="0"/>
        <w:jc w:val="both"/>
        <w:rPr>
          <w:rFonts w:ascii="Eras Bold ITC" w:hAnsi="Eras Bold ITC"/>
          <w:b/>
          <w:sz w:val="20"/>
        </w:rPr>
      </w:pPr>
      <w:r>
        <w:rPr>
          <w:rFonts w:ascii="Eras Bold ITC" w:hAnsi="Eras Bold ITC"/>
          <w:b/>
          <w:sz w:val="20"/>
        </w:rPr>
        <w:t>Que en Sesión Ordinaria de Ayuntamiento celebrada el día veintiocho de Septiembre del año dos mil once, se aprobó en lo general el sexto punto del orden del día, relativo a Informes de comisión, y en particular se aprobó por unanimidad, el acuerdo No. 760, séptimo informe de comisión, mismo que a la letra</w:t>
      </w:r>
      <w:r>
        <w:rPr>
          <w:rFonts w:ascii="Eras Bold ITC" w:hAnsi="Eras Bold ITC"/>
          <w:b/>
          <w:spacing w:val="-18"/>
          <w:sz w:val="20"/>
        </w:rPr>
        <w:t> </w:t>
      </w:r>
      <w:r>
        <w:rPr>
          <w:rFonts w:ascii="Eras Bold ITC" w:hAnsi="Eras Bold ITC"/>
          <w:b/>
          <w:sz w:val="20"/>
        </w:rPr>
        <w:t>dice:-----------------</w:t>
      </w:r>
    </w:p>
    <w:p>
      <w:pPr>
        <w:spacing w:before="0"/>
        <w:ind w:left="101" w:right="0" w:firstLine="0"/>
        <w:jc w:val="left"/>
        <w:rPr>
          <w:rFonts w:ascii="Eras Bold ITC"/>
          <w:b/>
          <w:sz w:val="20"/>
        </w:rPr>
      </w:pPr>
      <w:r>
        <w:rPr>
          <w:rFonts w:ascii="Eras Bold ITC"/>
          <w:b/>
          <w:sz w:val="20"/>
        </w:rPr>
        <w:t>------------------------------------------------------------------------------------------------</w:t>
      </w:r>
    </w:p>
    <w:p>
      <w:pPr>
        <w:pStyle w:val="BodyText"/>
        <w:spacing w:before="3"/>
        <w:rPr>
          <w:rFonts w:ascii="Eras Bold ITC"/>
          <w:b/>
          <w:sz w:val="22"/>
        </w:rPr>
      </w:pPr>
    </w:p>
    <w:p>
      <w:pPr>
        <w:spacing w:before="93"/>
        <w:ind w:left="6804" w:right="0" w:firstLine="0"/>
        <w:jc w:val="both"/>
        <w:rPr>
          <w:rFonts w:ascii="Arial"/>
          <w:sz w:val="20"/>
        </w:rPr>
      </w:pPr>
      <w:r>
        <w:rPr>
          <w:rFonts w:ascii="Arial"/>
          <w:sz w:val="20"/>
          <w:u w:val="single"/>
        </w:rPr>
        <w:t>ACUERDO NO. 760</w:t>
      </w:r>
    </w:p>
    <w:p>
      <w:pPr>
        <w:spacing w:before="0"/>
        <w:ind w:left="101" w:right="117" w:firstLine="0"/>
        <w:jc w:val="both"/>
        <w:rPr>
          <w:rFonts w:ascii="Times New Roman" w:hAnsi="Times New Roman"/>
          <w:sz w:val="20"/>
        </w:rPr>
      </w:pPr>
      <w:r>
        <w:rPr>
          <w:rFonts w:ascii="Arial" w:hAnsi="Arial"/>
          <w:sz w:val="20"/>
        </w:rPr>
        <w:t>“SÉPTIMO INFORME DE COMISIÓN.- Continuando con el uso de la voz, el C. Regidor Profesor Gustavo Íñiguez Ibarra, señala que, con su debido permiso Señor Presidente, compañeros Ediles, Secretario General y Síndico; en nuestra calidad de Regidores integrantes de las Comisiones Edilicias de Desarrollo Social, Equidad de Género y Asuntos Indígenas, Reglamentos, Puntos Constitucionales, Redacción y Estilo, y Derechos humanos; con las facultades que nos confieren los artículos 49, fracción I; 50, fracción I, de la Ley del Gobierno y la Administración Pública Municipal del Estado de Jalisco; 10 del Reglamento del Gobierno y la Administración Pública del Ayuntamiento Constitucional de Tonalá, Jalisco; y 71 del Reglamento para el Funcionamiento Interno de las Sesiones y Comisiones del Ayuntamiento  de Tonalá, Jalisco; nos permitimos presentar el siguiente informe de comisión con carácter de dictamen, el cual contiene el “R</w:t>
      </w:r>
      <w:r>
        <w:rPr>
          <w:rFonts w:ascii="Arial" w:hAnsi="Arial"/>
          <w:sz w:val="16"/>
        </w:rPr>
        <w:t>EGLAMENTO </w:t>
      </w:r>
      <w:r>
        <w:rPr>
          <w:rFonts w:ascii="Arial" w:hAnsi="Arial"/>
          <w:sz w:val="20"/>
        </w:rPr>
        <w:t>M</w:t>
      </w:r>
      <w:r>
        <w:rPr>
          <w:rFonts w:ascii="Arial" w:hAnsi="Arial"/>
          <w:sz w:val="16"/>
        </w:rPr>
        <w:t>UNICIPAL DE LA </w:t>
      </w:r>
      <w:r>
        <w:rPr>
          <w:rFonts w:ascii="Arial" w:hAnsi="Arial"/>
          <w:sz w:val="20"/>
        </w:rPr>
        <w:t>L</w:t>
      </w:r>
      <w:r>
        <w:rPr>
          <w:rFonts w:ascii="Arial" w:hAnsi="Arial"/>
          <w:sz w:val="16"/>
        </w:rPr>
        <w:t>EY DE </w:t>
      </w:r>
      <w:r>
        <w:rPr>
          <w:rFonts w:ascii="Arial" w:hAnsi="Arial"/>
          <w:sz w:val="20"/>
        </w:rPr>
        <w:t>A</w:t>
      </w:r>
      <w:r>
        <w:rPr>
          <w:rFonts w:ascii="Arial" w:hAnsi="Arial"/>
          <w:sz w:val="16"/>
        </w:rPr>
        <w:t>CCESO DE LAS </w:t>
      </w:r>
      <w:r>
        <w:rPr>
          <w:rFonts w:ascii="Arial" w:hAnsi="Arial"/>
          <w:sz w:val="20"/>
        </w:rPr>
        <w:t>M</w:t>
      </w:r>
      <w:r>
        <w:rPr>
          <w:rFonts w:ascii="Arial" w:hAnsi="Arial"/>
          <w:sz w:val="16"/>
        </w:rPr>
        <w:t>UJERES A UNA </w:t>
      </w:r>
      <w:r>
        <w:rPr>
          <w:rFonts w:ascii="Arial" w:hAnsi="Arial"/>
          <w:sz w:val="20"/>
        </w:rPr>
        <w:t>V</w:t>
      </w:r>
      <w:r>
        <w:rPr>
          <w:rFonts w:ascii="Arial" w:hAnsi="Arial"/>
          <w:sz w:val="16"/>
        </w:rPr>
        <w:t>IDA </w:t>
      </w:r>
      <w:r>
        <w:rPr>
          <w:rFonts w:ascii="Arial" w:hAnsi="Arial"/>
          <w:sz w:val="20"/>
        </w:rPr>
        <w:t>L</w:t>
      </w:r>
      <w:r>
        <w:rPr>
          <w:rFonts w:ascii="Arial" w:hAnsi="Arial"/>
          <w:sz w:val="16"/>
        </w:rPr>
        <w:t>IBRE DE </w:t>
      </w:r>
      <w:r>
        <w:rPr>
          <w:rFonts w:ascii="Arial" w:hAnsi="Arial"/>
          <w:sz w:val="20"/>
        </w:rPr>
        <w:t>V</w:t>
      </w:r>
      <w:r>
        <w:rPr>
          <w:rFonts w:ascii="Arial" w:hAnsi="Arial"/>
          <w:sz w:val="16"/>
        </w:rPr>
        <w:t>IOLENCIA</w:t>
      </w:r>
      <w:r>
        <w:rPr>
          <w:rFonts w:ascii="Arial" w:hAnsi="Arial"/>
          <w:sz w:val="20"/>
        </w:rPr>
        <w:t>”. ANTECEDENTES: 1.- Que en Sesión  Ordinaria  de Ayuntamiento celebrada el día 26 de agosto del año 2011, el suscrito presentó iniciativa de acuerdo con turno a comisión, en la cual se propuso el Reglamento Municipal de la Ley de Acceso de las Mujeres a una Vida Libre de Violencia. 2.- Que el 20 de septiembre del año en curso, se celebró sesión de trabajo con las comisiones edilicias involucradas en el asunto; cabe manifestar que a dicha reunión acudieron 8 de los 13 Regidores convocados, conformando el quórum legal. En consecuencia, los acuerdos adoptados fueron válidos. 3.- Que en la sesión  en comento, la Regidora Gabriela Gutiérrez Fonseca, en asuntos varios presentó propuesta en el sentido de incluir en el Reglamento que nos ocupa, el Consejo para Prevenir y Erradicar la Violencia en contra de las Mujeres en el Municipio de Tonalá, Jalisco. En tal virtud, se puso a consideración de los Regidores presentes, la integración de la figura jurídica propuesta y se determinó que se incluyera como Consejo Municipal con esos objeticos. CONSIDERANDOS: 1.- En México se ha luchado por garantizar el derecho de las mujeres a una vida libre de violencia mediante la prevención, sanción y erradicación de todas las formas de mal trato y discriminación que atenten contra su dignidad. La violencia puede manifestarse de diversas maneras: psicológica, física, patrimonial, sexual, económica, laboral, familiar y cualesquiera otra forma análoga que lesione o sea susceptible de dañar la integridad o libertad de las mujeres. Los derechos humanos de las mujeres están fuera de toda discusión, y el poder público debe no sólo respetarlos sino garantizarlos. El ius naturalismo expresa que los individuos, con independencia de su condición económica, social, cultural y sexual, tienen derechos que son consubstanciales a su naturaleza y el Estado como tal, debe reconocerlos y garantizarlos. Esta concepción ideológica fue adoptada por la Constitución de 1857 que en su artículo 1º</w:t>
      </w:r>
      <w:r>
        <w:rPr>
          <w:rFonts w:ascii="Arial" w:hAnsi="Arial"/>
          <w:spacing w:val="1"/>
          <w:sz w:val="20"/>
        </w:rPr>
        <w:t> </w:t>
      </w:r>
      <w:r>
        <w:rPr>
          <w:rFonts w:ascii="Arial" w:hAnsi="Arial"/>
          <w:sz w:val="20"/>
        </w:rPr>
        <w:t>establecía</w:t>
      </w:r>
      <w:r>
        <w:rPr>
          <w:rFonts w:ascii="Times New Roman" w:hAnsi="Times New Roman"/>
          <w:sz w:val="20"/>
        </w:rPr>
        <w:t>:</w:t>
      </w:r>
    </w:p>
    <w:p>
      <w:pPr>
        <w:spacing w:line="237" w:lineRule="auto" w:before="161"/>
        <w:ind w:left="497" w:right="512" w:firstLine="0"/>
        <w:jc w:val="both"/>
        <w:rPr>
          <w:rFonts w:ascii="Lucida Bright" w:hAnsi="Lucida Bright"/>
          <w:i/>
          <w:sz w:val="18"/>
        </w:rPr>
      </w:pPr>
      <w:r>
        <w:rPr>
          <w:rFonts w:ascii="Lucida Bright" w:hAnsi="Lucida Bright"/>
          <w:i/>
          <w:sz w:val="18"/>
        </w:rPr>
        <w:t>“El pueblo mexicano reconoce, que los derechos del hombre son la base y el objeto de las </w:t>
      </w:r>
      <w:r>
        <w:rPr>
          <w:rFonts w:ascii="Lucida Bright" w:hAnsi="Lucida Bright"/>
          <w:i/>
          <w:sz w:val="18"/>
        </w:rPr>
        <w:t>instituciones sociales. En consecuencia, declara: que todas las leyes y todas las autoridades del país, deben respetar y sostener las garantías que otorga la presente Constitución”.</w:t>
      </w:r>
    </w:p>
    <w:p>
      <w:pPr>
        <w:spacing w:before="0"/>
        <w:ind w:left="101" w:right="119" w:firstLine="0"/>
        <w:jc w:val="both"/>
        <w:rPr>
          <w:rFonts w:ascii="Arial" w:hAnsi="Arial"/>
          <w:sz w:val="20"/>
        </w:rPr>
      </w:pPr>
      <w:r>
        <w:rPr>
          <w:rFonts w:ascii="Arial" w:hAnsi="Arial"/>
          <w:sz w:val="20"/>
        </w:rPr>
        <w:t>No obstante la Constitución General de la República de 1917, cambió la concepción ideológica en relación a los derechos humanos y adoptó el ius positivismo que, a grosso modo, señala que los derechos de los individuos son otorgados por el Estado. Sin embargo, por decreto publicado el 10 de junio de este año en el Diario Oficial de la Federación, se reformó la denominación del primer capítulo de la Constitución Federal; así, de titularse: “De las garantías individuales”, se cambió a: “De los Derechos Humanos y sus Garantías”. Además, se modificó el texto del artículo primero de la Carta Magna, el cual quedó de la siguiente</w:t>
      </w:r>
      <w:r>
        <w:rPr>
          <w:rFonts w:ascii="Arial" w:hAnsi="Arial"/>
          <w:spacing w:val="-21"/>
          <w:sz w:val="20"/>
        </w:rPr>
        <w:t> </w:t>
      </w:r>
      <w:r>
        <w:rPr>
          <w:rFonts w:ascii="Arial" w:hAnsi="Arial"/>
          <w:sz w:val="20"/>
        </w:rPr>
        <w:t>manera:</w:t>
      </w:r>
    </w:p>
    <w:p>
      <w:pPr>
        <w:spacing w:after="0"/>
        <w:jc w:val="both"/>
        <w:rPr>
          <w:rFonts w:ascii="Arial" w:hAnsi="Arial"/>
          <w:sz w:val="20"/>
        </w:rPr>
        <w:sectPr>
          <w:type w:val="continuous"/>
          <w:pgSz w:w="11910" w:h="16840"/>
          <w:pgMar w:top="1320" w:bottom="280" w:left="1600" w:right="1580"/>
        </w:sectPr>
      </w:pPr>
    </w:p>
    <w:p>
      <w:pPr>
        <w:spacing w:line="237" w:lineRule="auto" w:before="75"/>
        <w:ind w:left="497" w:right="514" w:firstLine="0"/>
        <w:jc w:val="both"/>
        <w:rPr>
          <w:rFonts w:ascii="Lucida Bright" w:hAnsi="Lucida Bright"/>
          <w:i/>
          <w:sz w:val="18"/>
        </w:rPr>
      </w:pPr>
      <w:r>
        <w:rPr>
          <w:rFonts w:ascii="Lucida Bright" w:hAnsi="Lucida Bright"/>
          <w:i/>
          <w:sz w:val="18"/>
        </w:rPr>
        <w:t>“ARTÍCULO 1°. - En los Estados Unidos Mexicanos todas las personas gozarán de los </w:t>
      </w:r>
      <w:r>
        <w:rPr>
          <w:rFonts w:ascii="Lucida Bright" w:hAnsi="Lucida Bright"/>
          <w:i/>
          <w:sz w:val="18"/>
        </w:rPr>
        <w:t>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pPr>
        <w:pStyle w:val="BodyText"/>
        <w:spacing w:before="5"/>
        <w:rPr>
          <w:rFonts w:ascii="Lucida Bright"/>
          <w:i/>
          <w:sz w:val="19"/>
        </w:rPr>
      </w:pPr>
    </w:p>
    <w:p>
      <w:pPr>
        <w:spacing w:before="1"/>
        <w:ind w:left="101" w:right="118" w:firstLine="0"/>
        <w:jc w:val="both"/>
        <w:rPr>
          <w:rFonts w:ascii="Arial" w:hAnsi="Arial"/>
          <w:sz w:val="20"/>
        </w:rPr>
      </w:pPr>
      <w:r>
        <w:rPr>
          <w:rFonts w:ascii="Arial" w:hAnsi="Arial"/>
          <w:sz w:val="20"/>
        </w:rPr>
        <w:t>Como se puede observar, nuestra Constitución regresa al ius naturalismo consagrado originalmente en la Constitución Federal de 1857. De esta forma se protegen los derechos humanos en general y los derechos de las mujeres en particular. Más aún, los derechos fundamentales establecidos en los tratados internacionales y que haya suscrito el Estado mexicano, también serán garantizados. En este punto, cabe hacer mención que México ha suscrito diversos convenios internacionales para proteger y garantizar los derechos humanos de las mujeres. 2.- El reglamento que hoy que se propone encuentra su fundamento y justificación en la Ley General de Acceso de las Mujeres a una Vida Libre de Violencia, la cual dispone que en la elaboración y ejecución de las políticas públicas federales, estatales y municipales, deben prevalecer los principios de igualdad jurídica entre la mujer y el hombre, el respeto a la dignidad humana de las mujeres, la no discriminación y la libertad de las mujeres. Asimismo, indica que la Federación, las entidades federativas, el Distrito Federal y los municipios, coadyuvarán en el cumplimiento de los objetivos que ella prevé (artículo 40). De forma particular el artículo 50, fracciones I y VIII, de la ley precitada,</w:t>
      </w:r>
      <w:r>
        <w:rPr>
          <w:rFonts w:ascii="Arial" w:hAnsi="Arial"/>
          <w:spacing w:val="-12"/>
          <w:sz w:val="20"/>
        </w:rPr>
        <w:t> </w:t>
      </w:r>
      <w:r>
        <w:rPr>
          <w:rFonts w:ascii="Arial" w:hAnsi="Arial"/>
          <w:sz w:val="20"/>
        </w:rPr>
        <w:t>establece:</w:t>
      </w:r>
    </w:p>
    <w:p>
      <w:pPr>
        <w:pStyle w:val="BodyText"/>
        <w:spacing w:before="1"/>
        <w:rPr>
          <w:rFonts w:ascii="Arial"/>
          <w:sz w:val="20"/>
        </w:rPr>
      </w:pPr>
    </w:p>
    <w:p>
      <w:pPr>
        <w:spacing w:line="235" w:lineRule="auto" w:before="0"/>
        <w:ind w:left="497" w:right="515" w:firstLine="0"/>
        <w:jc w:val="both"/>
        <w:rPr>
          <w:rFonts w:ascii="Lucida Bright" w:hAnsi="Lucida Bright"/>
          <w:i/>
          <w:sz w:val="18"/>
        </w:rPr>
      </w:pPr>
      <w:r>
        <w:rPr>
          <w:rFonts w:ascii="Lucida Bright" w:hAnsi="Lucida Bright"/>
          <w:i/>
          <w:sz w:val="18"/>
        </w:rPr>
        <w:t>“Artículo </w:t>
      </w:r>
      <w:r>
        <w:rPr>
          <w:rFonts w:ascii="Lucida Bright" w:hAnsi="Lucida Bright"/>
          <w:i/>
          <w:spacing w:val="6"/>
          <w:sz w:val="18"/>
        </w:rPr>
        <w:t>50.-</w:t>
      </w:r>
      <w:r>
        <w:rPr>
          <w:rFonts w:ascii="Lucida Bright" w:hAnsi="Lucida Bright"/>
          <w:i/>
          <w:spacing w:val="66"/>
          <w:sz w:val="18"/>
        </w:rPr>
        <w:t> </w:t>
      </w:r>
      <w:r>
        <w:rPr>
          <w:rFonts w:ascii="Lucida Bright" w:hAnsi="Lucida Bright"/>
          <w:i/>
          <w:sz w:val="18"/>
        </w:rPr>
        <w:t>Corresponde a los municipios, de conformidad con esta ley y las leyes </w:t>
      </w:r>
      <w:r>
        <w:rPr>
          <w:rFonts w:ascii="Lucida Bright" w:hAnsi="Lucida Bright"/>
          <w:i/>
          <w:sz w:val="18"/>
        </w:rPr>
        <w:t>locales en la materia y acorde con la perspectiva de género, las siguientes atribuciones:</w:t>
      </w:r>
    </w:p>
    <w:p>
      <w:pPr>
        <w:tabs>
          <w:tab w:pos="953" w:val="left" w:leader="none"/>
        </w:tabs>
        <w:spacing w:line="235" w:lineRule="auto" w:before="125"/>
        <w:ind w:left="953" w:right="515" w:hanging="425"/>
        <w:jc w:val="left"/>
        <w:rPr>
          <w:rFonts w:ascii="Lucida Bright" w:hAnsi="Lucida Bright"/>
          <w:i/>
          <w:sz w:val="18"/>
        </w:rPr>
      </w:pPr>
      <w:r>
        <w:rPr>
          <w:rFonts w:ascii="Lucida Bright" w:hAnsi="Lucida Bright"/>
          <w:i/>
          <w:sz w:val="18"/>
        </w:rPr>
        <w:t>I.</w:t>
        <w:tab/>
        <w:t>Instrumentar y articular, en concordancia con la política nacional y estatal, la </w:t>
      </w:r>
      <w:r>
        <w:rPr>
          <w:rFonts w:ascii="Lucida Bright" w:hAnsi="Lucida Bright"/>
          <w:i/>
          <w:sz w:val="18"/>
        </w:rPr>
        <w:t>política municipal orientada a erradicar la violencia contra las</w:t>
      </w:r>
      <w:r>
        <w:rPr>
          <w:rFonts w:ascii="Lucida Bright" w:hAnsi="Lucida Bright"/>
          <w:i/>
          <w:spacing w:val="-13"/>
          <w:sz w:val="18"/>
        </w:rPr>
        <w:t> </w:t>
      </w:r>
      <w:r>
        <w:rPr>
          <w:rFonts w:ascii="Lucida Bright" w:hAnsi="Lucida Bright"/>
          <w:i/>
          <w:sz w:val="18"/>
        </w:rPr>
        <w:t>mujeres;</w:t>
      </w:r>
    </w:p>
    <w:p>
      <w:pPr>
        <w:spacing w:before="118"/>
        <w:ind w:left="953" w:right="515" w:hanging="425"/>
        <w:jc w:val="left"/>
        <w:rPr>
          <w:rFonts w:ascii="Lucida Bright" w:hAnsi="Lucida Bright"/>
          <w:i/>
          <w:sz w:val="18"/>
        </w:rPr>
      </w:pPr>
      <w:r>
        <w:rPr>
          <w:rFonts w:ascii="Lucida Bright" w:hAnsi="Lucida Bright"/>
          <w:i/>
          <w:sz w:val="18"/>
        </w:rPr>
        <w:t>VIII. Participar y coadyuvar en la prevención, atención y erradicación de la violencia </w:t>
      </w:r>
      <w:r>
        <w:rPr>
          <w:rFonts w:ascii="Lucida Bright" w:hAnsi="Lucida Bright"/>
          <w:i/>
          <w:sz w:val="18"/>
        </w:rPr>
        <w:t>contra las mujeres”</w:t>
      </w:r>
    </w:p>
    <w:p>
      <w:pPr>
        <w:pStyle w:val="BodyText"/>
        <w:spacing w:before="4"/>
        <w:rPr>
          <w:rFonts w:ascii="Lucida Bright"/>
          <w:i/>
          <w:sz w:val="19"/>
        </w:rPr>
      </w:pPr>
    </w:p>
    <w:p>
      <w:pPr>
        <w:spacing w:before="0"/>
        <w:ind w:left="101" w:right="117" w:firstLine="0"/>
        <w:jc w:val="both"/>
        <w:rPr>
          <w:rFonts w:ascii="Arial" w:hAnsi="Arial"/>
          <w:sz w:val="20"/>
        </w:rPr>
      </w:pPr>
      <w:r>
        <w:rPr>
          <w:rFonts w:ascii="Arial" w:hAnsi="Arial"/>
          <w:sz w:val="20"/>
        </w:rPr>
        <w:t>DICTAMEN FINAL: PRIMERO.- Es procedente aprobar y, en consecuencia, se aprueba el “R</w:t>
      </w:r>
      <w:r>
        <w:rPr>
          <w:rFonts w:ascii="Arial" w:hAnsi="Arial"/>
          <w:sz w:val="16"/>
        </w:rPr>
        <w:t>EGLAMENTO</w:t>
      </w:r>
      <w:r>
        <w:rPr>
          <w:rFonts w:ascii="Arial" w:hAnsi="Arial"/>
          <w:spacing w:val="9"/>
          <w:sz w:val="16"/>
        </w:rPr>
        <w:t> </w:t>
      </w:r>
      <w:r>
        <w:rPr>
          <w:rFonts w:ascii="Arial" w:hAnsi="Arial"/>
          <w:sz w:val="20"/>
        </w:rPr>
        <w:t>M</w:t>
      </w:r>
      <w:r>
        <w:rPr>
          <w:rFonts w:ascii="Arial" w:hAnsi="Arial"/>
          <w:sz w:val="16"/>
        </w:rPr>
        <w:t>UNICIPAL</w:t>
      </w:r>
      <w:r>
        <w:rPr>
          <w:rFonts w:ascii="Arial" w:hAnsi="Arial"/>
          <w:spacing w:val="9"/>
          <w:sz w:val="16"/>
        </w:rPr>
        <w:t> </w:t>
      </w:r>
      <w:r>
        <w:rPr>
          <w:rFonts w:ascii="Arial" w:hAnsi="Arial"/>
          <w:sz w:val="16"/>
        </w:rPr>
        <w:t>DE</w:t>
      </w:r>
      <w:r>
        <w:rPr>
          <w:rFonts w:ascii="Arial" w:hAnsi="Arial"/>
          <w:spacing w:val="8"/>
          <w:sz w:val="16"/>
        </w:rPr>
        <w:t> </w:t>
      </w:r>
      <w:r>
        <w:rPr>
          <w:rFonts w:ascii="Arial" w:hAnsi="Arial"/>
          <w:sz w:val="16"/>
        </w:rPr>
        <w:t>LA</w:t>
      </w:r>
      <w:r>
        <w:rPr>
          <w:rFonts w:ascii="Arial" w:hAnsi="Arial"/>
          <w:spacing w:val="10"/>
          <w:sz w:val="16"/>
        </w:rPr>
        <w:t> </w:t>
      </w:r>
      <w:r>
        <w:rPr>
          <w:rFonts w:ascii="Arial" w:hAnsi="Arial"/>
          <w:sz w:val="20"/>
        </w:rPr>
        <w:t>L</w:t>
      </w:r>
      <w:r>
        <w:rPr>
          <w:rFonts w:ascii="Arial" w:hAnsi="Arial"/>
          <w:sz w:val="16"/>
        </w:rPr>
        <w:t>EY</w:t>
      </w:r>
      <w:r>
        <w:rPr>
          <w:rFonts w:ascii="Arial" w:hAnsi="Arial"/>
          <w:spacing w:val="11"/>
          <w:sz w:val="16"/>
        </w:rPr>
        <w:t> </w:t>
      </w:r>
      <w:r>
        <w:rPr>
          <w:rFonts w:ascii="Arial" w:hAnsi="Arial"/>
          <w:sz w:val="16"/>
        </w:rPr>
        <w:t>DE</w:t>
      </w:r>
      <w:r>
        <w:rPr>
          <w:rFonts w:ascii="Arial" w:hAnsi="Arial"/>
          <w:spacing w:val="10"/>
          <w:sz w:val="16"/>
        </w:rPr>
        <w:t> </w:t>
      </w:r>
      <w:r>
        <w:rPr>
          <w:rFonts w:ascii="Arial" w:hAnsi="Arial"/>
          <w:sz w:val="20"/>
        </w:rPr>
        <w:t>A</w:t>
      </w:r>
      <w:r>
        <w:rPr>
          <w:rFonts w:ascii="Arial" w:hAnsi="Arial"/>
          <w:sz w:val="16"/>
        </w:rPr>
        <w:t>CCESO</w:t>
      </w:r>
      <w:r>
        <w:rPr>
          <w:rFonts w:ascii="Arial" w:hAnsi="Arial"/>
          <w:spacing w:val="9"/>
          <w:sz w:val="16"/>
        </w:rPr>
        <w:t> </w:t>
      </w:r>
      <w:r>
        <w:rPr>
          <w:rFonts w:ascii="Arial" w:hAnsi="Arial"/>
          <w:sz w:val="16"/>
        </w:rPr>
        <w:t>DE</w:t>
      </w:r>
      <w:r>
        <w:rPr>
          <w:rFonts w:ascii="Arial" w:hAnsi="Arial"/>
          <w:spacing w:val="10"/>
          <w:sz w:val="16"/>
        </w:rPr>
        <w:t> </w:t>
      </w:r>
      <w:r>
        <w:rPr>
          <w:rFonts w:ascii="Arial" w:hAnsi="Arial"/>
          <w:sz w:val="16"/>
        </w:rPr>
        <w:t>LAS</w:t>
      </w:r>
      <w:r>
        <w:rPr>
          <w:rFonts w:ascii="Arial" w:hAnsi="Arial"/>
          <w:spacing w:val="9"/>
          <w:sz w:val="16"/>
        </w:rPr>
        <w:t> </w:t>
      </w:r>
      <w:r>
        <w:rPr>
          <w:rFonts w:ascii="Arial" w:hAnsi="Arial"/>
          <w:sz w:val="20"/>
        </w:rPr>
        <w:t>M</w:t>
      </w:r>
      <w:r>
        <w:rPr>
          <w:rFonts w:ascii="Arial" w:hAnsi="Arial"/>
          <w:sz w:val="16"/>
        </w:rPr>
        <w:t>UJERES</w:t>
      </w:r>
      <w:r>
        <w:rPr>
          <w:rFonts w:ascii="Arial" w:hAnsi="Arial"/>
          <w:spacing w:val="10"/>
          <w:sz w:val="16"/>
        </w:rPr>
        <w:t> </w:t>
      </w:r>
      <w:r>
        <w:rPr>
          <w:rFonts w:ascii="Arial" w:hAnsi="Arial"/>
          <w:sz w:val="16"/>
        </w:rPr>
        <w:t>A</w:t>
      </w:r>
      <w:r>
        <w:rPr>
          <w:rFonts w:ascii="Arial" w:hAnsi="Arial"/>
          <w:spacing w:val="10"/>
          <w:sz w:val="16"/>
        </w:rPr>
        <w:t> </w:t>
      </w:r>
      <w:r>
        <w:rPr>
          <w:rFonts w:ascii="Arial" w:hAnsi="Arial"/>
          <w:sz w:val="16"/>
        </w:rPr>
        <w:t>UNA</w:t>
      </w:r>
      <w:r>
        <w:rPr>
          <w:rFonts w:ascii="Arial" w:hAnsi="Arial"/>
          <w:spacing w:val="10"/>
          <w:sz w:val="16"/>
        </w:rPr>
        <w:t> </w:t>
      </w:r>
      <w:r>
        <w:rPr>
          <w:rFonts w:ascii="Arial" w:hAnsi="Arial"/>
          <w:sz w:val="20"/>
        </w:rPr>
        <w:t>V</w:t>
      </w:r>
      <w:r>
        <w:rPr>
          <w:rFonts w:ascii="Arial" w:hAnsi="Arial"/>
          <w:sz w:val="16"/>
        </w:rPr>
        <w:t>IDA</w:t>
      </w:r>
      <w:r>
        <w:rPr>
          <w:rFonts w:ascii="Arial" w:hAnsi="Arial"/>
          <w:spacing w:val="10"/>
          <w:sz w:val="16"/>
        </w:rPr>
        <w:t> </w:t>
      </w:r>
      <w:r>
        <w:rPr>
          <w:rFonts w:ascii="Arial" w:hAnsi="Arial"/>
          <w:sz w:val="20"/>
        </w:rPr>
        <w:t>L</w:t>
      </w:r>
      <w:r>
        <w:rPr>
          <w:rFonts w:ascii="Arial" w:hAnsi="Arial"/>
          <w:sz w:val="16"/>
        </w:rPr>
        <w:t>IBRE</w:t>
      </w:r>
      <w:r>
        <w:rPr>
          <w:rFonts w:ascii="Arial" w:hAnsi="Arial"/>
          <w:spacing w:val="9"/>
          <w:sz w:val="16"/>
        </w:rPr>
        <w:t> </w:t>
      </w:r>
      <w:r>
        <w:rPr>
          <w:rFonts w:ascii="Arial" w:hAnsi="Arial"/>
          <w:sz w:val="16"/>
        </w:rPr>
        <w:t>DE</w:t>
      </w:r>
      <w:r>
        <w:rPr>
          <w:rFonts w:ascii="Arial" w:hAnsi="Arial"/>
          <w:spacing w:val="10"/>
          <w:sz w:val="16"/>
        </w:rPr>
        <w:t> </w:t>
      </w:r>
      <w:r>
        <w:rPr>
          <w:rFonts w:ascii="Arial" w:hAnsi="Arial"/>
          <w:sz w:val="20"/>
        </w:rPr>
        <w:t>V</w:t>
      </w:r>
      <w:r>
        <w:rPr>
          <w:rFonts w:ascii="Arial" w:hAnsi="Arial"/>
          <w:sz w:val="16"/>
        </w:rPr>
        <w:t>IOLENCIA</w:t>
      </w:r>
      <w:r>
        <w:rPr>
          <w:rFonts w:ascii="Arial" w:hAnsi="Arial"/>
          <w:sz w:val="20"/>
        </w:rPr>
        <w:t>”.</w:t>
      </w:r>
    </w:p>
    <w:p>
      <w:pPr>
        <w:spacing w:before="0"/>
        <w:ind w:left="101" w:right="116" w:firstLine="0"/>
        <w:jc w:val="both"/>
        <w:rPr>
          <w:rFonts w:ascii="Arial" w:hAnsi="Arial"/>
          <w:sz w:val="20"/>
        </w:rPr>
      </w:pPr>
      <w:r>
        <w:rPr>
          <w:rFonts w:ascii="Arial" w:hAnsi="Arial"/>
          <w:sz w:val="20"/>
        </w:rPr>
        <w:t>SEGUNDO.- Se instruye al Presidente Municipal para los efectos de que promulgue y, a su vez, instruya a la Secretaría General para que publique el ordenamiento municipal materia del presente dictamen; lo anterior de conformidad con el artículo 42, fracción IV, de la Ley del Gobierno y Administración Pública del Estado de Jalisco. TERCERO.- Se  instruye  al Secretario General del Ayuntamiento para los efectos de que notifique al Congreso del Estado de Jalisco, en los términos del artículo 42, fracción VII, de la Ley del Gobierno y Administración Pública del Estado de Jalisco. Puesto que fue a consideración y a votación de los integrantes del Ayuntamiento en Pleno, el presente dictamen final es aprobado por</w:t>
      </w:r>
      <w:r>
        <w:rPr>
          <w:rFonts w:ascii="Arial" w:hAnsi="Arial"/>
          <w:spacing w:val="-39"/>
          <w:sz w:val="20"/>
        </w:rPr>
        <w:t> </w:t>
      </w:r>
      <w:r>
        <w:rPr>
          <w:rFonts w:ascii="Arial" w:hAnsi="Arial"/>
          <w:sz w:val="20"/>
        </w:rPr>
        <w:t>unanimidad”.---------------</w:t>
      </w:r>
    </w:p>
    <w:p>
      <w:pPr>
        <w:spacing w:before="0"/>
        <w:ind w:left="101" w:right="0" w:firstLine="0"/>
        <w:jc w:val="left"/>
        <w:rPr>
          <w:rFonts w:ascii="Arial"/>
          <w:sz w:val="20"/>
        </w:rPr>
      </w:pPr>
      <w:r>
        <w:rPr>
          <w:rFonts w:ascii="Arial"/>
          <w:sz w:val="20"/>
        </w:rPr>
        <w:t>---------------------------------------------</w:t>
      </w:r>
    </w:p>
    <w:p>
      <w:pPr>
        <w:pStyle w:val="BodyText"/>
        <w:rPr>
          <w:rFonts w:ascii="Arial"/>
          <w:sz w:val="22"/>
        </w:rPr>
      </w:pPr>
    </w:p>
    <w:p>
      <w:pPr>
        <w:pStyle w:val="BodyText"/>
        <w:spacing w:before="4"/>
        <w:rPr>
          <w:rFonts w:ascii="Arial"/>
          <w:sz w:val="22"/>
        </w:rPr>
      </w:pPr>
    </w:p>
    <w:p>
      <w:pPr>
        <w:spacing w:before="1"/>
        <w:ind w:left="101" w:right="120" w:firstLine="0"/>
        <w:jc w:val="both"/>
        <w:rPr>
          <w:rFonts w:ascii="Eras Bold ITC" w:hAnsi="Eras Bold ITC"/>
          <w:b/>
          <w:sz w:val="20"/>
        </w:rPr>
      </w:pPr>
      <w:r>
        <w:rPr>
          <w:rFonts w:ascii="Eras Bold ITC" w:hAnsi="Eras Bold ITC"/>
          <w:b/>
          <w:sz w:val="20"/>
        </w:rPr>
        <w:t>Se extiende la presente certificación en Tonalá, Jalisco a los dieciocho días del mes de Noviembre del año dos mil once, la cual consta en dos hojas tamaño carta con leyenda únicamente por su lado anverso.---------------------------------------------------------------------------------</w:t>
      </w:r>
    </w:p>
    <w:p>
      <w:pPr>
        <w:spacing w:line="231" w:lineRule="exact" w:before="0"/>
        <w:ind w:left="101" w:right="0" w:firstLine="0"/>
        <w:jc w:val="left"/>
        <w:rPr>
          <w:rFonts w:ascii="Eras Bold ITC"/>
          <w:b/>
          <w:sz w:val="20"/>
        </w:rPr>
      </w:pPr>
      <w:r>
        <w:rPr>
          <w:rFonts w:ascii="Eras Bold ITC"/>
          <w:b/>
          <w:sz w:val="20"/>
        </w:rPr>
        <w:t>-------------------------------------------------------------------------</w:t>
      </w:r>
    </w:p>
    <w:p>
      <w:pPr>
        <w:spacing w:after="0" w:line="231" w:lineRule="exact"/>
        <w:jc w:val="left"/>
        <w:rPr>
          <w:rFonts w:ascii="Eras Bold ITC"/>
          <w:sz w:val="20"/>
        </w:rPr>
        <w:sectPr>
          <w:pgSz w:w="11910" w:h="16840"/>
          <w:pgMar w:top="1320" w:bottom="280" w:left="1600" w:right="1580"/>
        </w:sectPr>
      </w:pPr>
    </w:p>
    <w:p>
      <w:pPr>
        <w:pStyle w:val="BodyText"/>
        <w:spacing w:before="75"/>
        <w:ind w:left="99" w:right="118"/>
        <w:jc w:val="center"/>
        <w:rPr>
          <w:rFonts w:ascii="Arial"/>
        </w:rPr>
      </w:pPr>
      <w:bookmarkStart w:name="INDICE Libre de Violencia" w:id="2"/>
      <w:bookmarkEnd w:id="2"/>
      <w:r>
        <w:rPr/>
      </w:r>
      <w:r>
        <w:rPr>
          <w:rFonts w:ascii="Arial"/>
        </w:rPr>
        <w:t>INDICE</w:t>
      </w:r>
    </w:p>
    <w:p>
      <w:pPr>
        <w:pStyle w:val="BodyText"/>
        <w:spacing w:before="10"/>
        <w:rPr>
          <w:rFonts w:ascii="Arial"/>
          <w:sz w:val="20"/>
        </w:rPr>
      </w:pPr>
    </w:p>
    <w:p>
      <w:pPr>
        <w:pStyle w:val="BodyText"/>
        <w:ind w:left="101"/>
        <w:rPr>
          <w:rFonts w:ascii="Arial" w:hAnsi="Arial"/>
        </w:rPr>
      </w:pPr>
      <w:r>
        <w:rPr>
          <w:rFonts w:ascii="Arial" w:hAnsi="Arial"/>
        </w:rPr>
        <w:t>Capítulo I</w:t>
      </w:r>
    </w:p>
    <w:p>
      <w:pPr>
        <w:spacing w:after="0"/>
        <w:rPr>
          <w:rFonts w:ascii="Arial" w:hAnsi="Arial"/>
        </w:rPr>
        <w:sectPr>
          <w:pgSz w:w="11910" w:h="16840"/>
          <w:pgMar w:top="1320" w:bottom="2077" w:left="1600" w:right="1580"/>
        </w:sectPr>
      </w:pPr>
    </w:p>
    <w:sdt>
      <w:sdtPr>
        <w:docPartObj>
          <w:docPartGallery w:val="Table of Contents"/>
          <w:docPartUnique/>
        </w:docPartObj>
      </w:sdtPr>
      <w:sdtEndPr/>
      <w:sdtContent>
        <w:p>
          <w:pPr>
            <w:pStyle w:val="TOC2"/>
            <w:tabs>
              <w:tab w:pos="8410" w:val="left" w:leader="dot"/>
            </w:tabs>
            <w:spacing w:before="0"/>
            <w:ind w:right="0"/>
            <w:jc w:val="left"/>
          </w:pPr>
          <w:r>
            <w:rPr/>
            <w:t>Disposiciones</w:t>
          </w:r>
          <w:r>
            <w:rPr>
              <w:spacing w:val="-4"/>
            </w:rPr>
            <w:t> </w:t>
          </w:r>
          <w:r>
            <w:rPr/>
            <w:t>Generales.</w:t>
            <w:tab/>
            <w:t>1</w:t>
          </w:r>
        </w:p>
        <w:p>
          <w:pPr>
            <w:pStyle w:val="TOC2"/>
            <w:spacing w:before="552"/>
            <w:ind w:right="0"/>
            <w:jc w:val="left"/>
          </w:pPr>
          <w:r>
            <w:rPr/>
            <w:t>Capítulo II</w:t>
          </w:r>
        </w:p>
        <w:p>
          <w:pPr>
            <w:pStyle w:val="TOC2"/>
            <w:tabs>
              <w:tab w:pos="8424" w:val="left" w:leader="dot"/>
            </w:tabs>
            <w:spacing w:before="3"/>
            <w:ind w:right="0"/>
            <w:jc w:val="left"/>
          </w:pPr>
          <w:hyperlink w:history="true" w:anchor="_TOC_250017">
            <w:r>
              <w:rPr/>
              <w:t>De las facultades</w:t>
            </w:r>
            <w:r>
              <w:rPr>
                <w:spacing w:val="-9"/>
              </w:rPr>
              <w:t> </w:t>
            </w:r>
            <w:r>
              <w:rPr/>
              <w:t>del</w:t>
            </w:r>
            <w:r>
              <w:rPr>
                <w:spacing w:val="-3"/>
              </w:rPr>
              <w:t> </w:t>
            </w:r>
            <w:r>
              <w:rPr/>
              <w:t>ayuntamiento</w:t>
              <w:tab/>
              <w:t>3</w:t>
            </w:r>
          </w:hyperlink>
        </w:p>
        <w:p>
          <w:pPr>
            <w:pStyle w:val="TOC2"/>
            <w:spacing w:before="833"/>
            <w:ind w:right="117"/>
          </w:pPr>
          <w:hyperlink w:history="true" w:anchor="_TOC_250016">
            <w:r>
              <w:rPr/>
              <w:t>Sección primera</w:t>
            </w:r>
          </w:hyperlink>
        </w:p>
        <w:p>
          <w:pPr>
            <w:pStyle w:val="TOC2"/>
            <w:tabs>
              <w:tab w:pos="8410" w:val="left" w:leader="dot"/>
            </w:tabs>
            <w:spacing w:line="312" w:lineRule="auto"/>
            <w:ind w:right="120"/>
            <w:jc w:val="left"/>
          </w:pPr>
          <w:hyperlink w:history="true" w:anchor="_TOC_250015">
            <w:r>
              <w:rPr/>
              <w:t>De la promoción de políticas orientadas a prevenir, atender y erradicar la violencia contra</w:t>
            </w:r>
            <w:r>
              <w:rPr>
                <w:spacing w:val="-4"/>
              </w:rPr>
              <w:t> </w:t>
            </w:r>
            <w:r>
              <w:rPr/>
              <w:t>las</w:t>
            </w:r>
            <w:r>
              <w:rPr>
                <w:spacing w:val="-5"/>
              </w:rPr>
              <w:t> </w:t>
            </w:r>
            <w:r>
              <w:rPr/>
              <w:t>mujeres</w:t>
              <w:tab/>
              <w:t>8</w:t>
            </w:r>
          </w:hyperlink>
        </w:p>
        <w:p>
          <w:pPr>
            <w:pStyle w:val="TOC2"/>
            <w:spacing w:before="475"/>
            <w:ind w:right="117"/>
          </w:pPr>
          <w:r>
            <w:rPr/>
            <w:t>Sección segunda</w:t>
          </w:r>
        </w:p>
        <w:p>
          <w:pPr>
            <w:pStyle w:val="TOC2"/>
            <w:tabs>
              <w:tab w:pos="8448" w:val="left" w:leader="dot"/>
            </w:tabs>
            <w:spacing w:line="312" w:lineRule="auto"/>
            <w:jc w:val="left"/>
          </w:pPr>
          <w:hyperlink w:history="true" w:anchor="_TOC_250014">
            <w:r>
              <w:rPr/>
              <w:t>De la colaboración con el estado, en la adopción y consolidación del programa estatal</w:t>
              <w:tab/>
              <w:t>8</w:t>
            </w:r>
          </w:hyperlink>
        </w:p>
        <w:p>
          <w:pPr>
            <w:pStyle w:val="TOC2"/>
            <w:spacing w:before="476"/>
            <w:ind w:right="117"/>
          </w:pPr>
          <w:hyperlink w:history="true" w:anchor="_TOC_250013">
            <w:r>
              <w:rPr/>
              <w:t>Sección tercera</w:t>
            </w:r>
          </w:hyperlink>
        </w:p>
        <w:p>
          <w:pPr>
            <w:pStyle w:val="TOC2"/>
            <w:tabs>
              <w:tab w:pos="8275" w:val="left" w:leader="dot"/>
            </w:tabs>
            <w:spacing w:line="312" w:lineRule="auto"/>
            <w:ind w:right="120"/>
            <w:jc w:val="left"/>
          </w:pPr>
          <w:hyperlink w:history="true" w:anchor="_TOC_250012">
            <w:r>
              <w:rPr/>
              <w:t>Del apoyo en la creación de centros de refugio temporales para mujeres víctimas</w:t>
            </w:r>
            <w:r>
              <w:rPr>
                <w:spacing w:val="-3"/>
              </w:rPr>
              <w:t> </w:t>
            </w:r>
            <w:r>
              <w:rPr/>
              <w:t>de</w:t>
            </w:r>
            <w:r>
              <w:rPr>
                <w:spacing w:val="-2"/>
              </w:rPr>
              <w:t> </w:t>
            </w:r>
            <w:r>
              <w:rPr/>
              <w:t>violencia</w:t>
              <w:tab/>
              <w:t>10</w:t>
            </w:r>
          </w:hyperlink>
        </w:p>
        <w:p>
          <w:pPr>
            <w:pStyle w:val="TOC2"/>
            <w:spacing w:before="478"/>
            <w:ind w:left="100"/>
          </w:pPr>
          <w:hyperlink w:history="true" w:anchor="_TOC_250011">
            <w:r>
              <w:rPr/>
              <w:t>Sección cuarta</w:t>
            </w:r>
          </w:hyperlink>
        </w:p>
        <w:p>
          <w:pPr>
            <w:pStyle w:val="TOC2"/>
            <w:tabs>
              <w:tab w:pos="8331" w:val="left" w:leader="dot"/>
            </w:tabs>
            <w:spacing w:line="312" w:lineRule="auto" w:before="280"/>
            <w:ind w:right="116"/>
            <w:jc w:val="left"/>
          </w:pPr>
          <w:hyperlink w:history="true" w:anchor="_TOC_250010">
            <w:r>
              <w:rPr/>
              <w:t>Del apoyo en la creación de programas de reeducación integral para los agresores</w:t>
              <w:tab/>
              <w:t>11</w:t>
            </w:r>
          </w:hyperlink>
        </w:p>
        <w:p>
          <w:pPr>
            <w:pStyle w:val="TOC2"/>
            <w:spacing w:before="478"/>
            <w:ind w:left="100"/>
          </w:pPr>
          <w:hyperlink w:history="true" w:anchor="_TOC_250009">
            <w:r>
              <w:rPr/>
              <w:t>Sección quinta</w:t>
            </w:r>
          </w:hyperlink>
        </w:p>
        <w:p>
          <w:pPr>
            <w:pStyle w:val="TOC2"/>
            <w:tabs>
              <w:tab w:pos="8331" w:val="left" w:leader="dot"/>
            </w:tabs>
            <w:spacing w:line="312" w:lineRule="auto" w:before="281"/>
            <w:ind w:right="120"/>
            <w:jc w:val="left"/>
          </w:pPr>
          <w:hyperlink w:history="true" w:anchor="_TOC_250008">
            <w:r>
              <w:rPr/>
              <w:t>De la participación en la prevención, atención y erradicación de la violencia contra</w:t>
            </w:r>
            <w:r>
              <w:rPr>
                <w:spacing w:val="-1"/>
              </w:rPr>
              <w:t> </w:t>
            </w:r>
            <w:r>
              <w:rPr/>
              <w:t>las</w:t>
            </w:r>
            <w:r>
              <w:rPr>
                <w:spacing w:val="-3"/>
              </w:rPr>
              <w:t> </w:t>
            </w:r>
            <w:r>
              <w:rPr/>
              <w:t>mujeres</w:t>
              <w:tab/>
            </w:r>
            <w:r>
              <w:rPr>
                <w:spacing w:val="-6"/>
              </w:rPr>
              <w:t>11</w:t>
            </w:r>
          </w:hyperlink>
        </w:p>
        <w:p>
          <w:pPr>
            <w:pStyle w:val="TOC2"/>
            <w:spacing w:before="761"/>
            <w:ind w:left="100"/>
          </w:pPr>
          <w:hyperlink w:history="true" w:anchor="_TOC_250007">
            <w:r>
              <w:rPr/>
              <w:t>Sección sexta</w:t>
            </w:r>
          </w:hyperlink>
        </w:p>
        <w:p>
          <w:pPr>
            <w:pStyle w:val="TOC2"/>
            <w:tabs>
              <w:tab w:pos="8295" w:val="left" w:leader="dot"/>
            </w:tabs>
            <w:spacing w:line="312" w:lineRule="auto" w:before="281" w:after="20"/>
            <w:ind w:right="161"/>
            <w:jc w:val="left"/>
          </w:pPr>
          <w:r>
            <w:rPr/>
            <w:t>De la celebración de convenios con dependencias públicas y privadas de convenios de colaboración, coordinación y concertación en</w:t>
          </w:r>
          <w:r>
            <w:rPr>
              <w:spacing w:val="-24"/>
            </w:rPr>
            <w:t> </w:t>
          </w:r>
          <w:r>
            <w:rPr/>
            <w:t>la</w:t>
          </w:r>
          <w:r>
            <w:rPr>
              <w:spacing w:val="-5"/>
            </w:rPr>
            <w:t> </w:t>
          </w:r>
          <w:r>
            <w:rPr/>
            <w:t>materia</w:t>
            <w:tab/>
          </w:r>
          <w:r>
            <w:rPr>
              <w:spacing w:val="-9"/>
            </w:rPr>
            <w:t>13</w:t>
          </w:r>
        </w:p>
        <w:p>
          <w:pPr>
            <w:pStyle w:val="TOC2"/>
            <w:spacing w:before="75"/>
            <w:ind w:left="100"/>
          </w:pPr>
          <w:hyperlink w:history="true" w:anchor="_TOC_250006">
            <w:r>
              <w:rPr/>
              <w:t>Capítulo III</w:t>
            </w:r>
          </w:hyperlink>
        </w:p>
        <w:p>
          <w:pPr>
            <w:pStyle w:val="TOC2"/>
            <w:tabs>
              <w:tab w:pos="8290" w:val="left" w:leader="dot"/>
            </w:tabs>
            <w:spacing w:line="312" w:lineRule="auto" w:before="284"/>
          </w:pPr>
          <w:hyperlink w:history="true" w:anchor="_TOC_250005">
            <w:r>
              <w:rPr/>
              <w:t>Mecanismos internos para la denuncia del personal que incurra en violencia institucional</w:t>
            </w:r>
            <w:r>
              <w:rPr>
                <w:spacing w:val="-3"/>
              </w:rPr>
              <w:t> </w:t>
            </w:r>
            <w:r>
              <w:rPr/>
              <w:t>y</w:t>
            </w:r>
            <w:r>
              <w:rPr>
                <w:spacing w:val="-4"/>
              </w:rPr>
              <w:t> </w:t>
            </w:r>
            <w:r>
              <w:rPr/>
              <w:t>laboral</w:t>
              <w:tab/>
              <w:t>14</w:t>
            </w:r>
          </w:hyperlink>
        </w:p>
        <w:p>
          <w:pPr>
            <w:pStyle w:val="TOC2"/>
            <w:spacing w:before="477"/>
            <w:ind w:right="117"/>
          </w:pPr>
          <w:hyperlink w:history="true" w:anchor="_TOC_250004">
            <w:r>
              <w:rPr/>
              <w:t>Capítulo IV</w:t>
            </w:r>
          </w:hyperlink>
        </w:p>
        <w:p>
          <w:pPr>
            <w:pStyle w:val="TOC2"/>
            <w:tabs>
              <w:tab w:pos="8304" w:val="left" w:leader="dot"/>
            </w:tabs>
            <w:spacing w:line="312" w:lineRule="auto" w:before="281"/>
          </w:pPr>
          <w:hyperlink w:history="true" w:anchor="_TOC_250003">
            <w:r>
              <w:rPr/>
              <w:t>De la colaboración del banco estatal de datos e información sobre casos de violencia contra</w:t>
            </w:r>
            <w:r>
              <w:rPr>
                <w:spacing w:val="-4"/>
              </w:rPr>
              <w:t> </w:t>
            </w:r>
            <w:r>
              <w:rPr/>
              <w:t>las</w:t>
            </w:r>
            <w:r>
              <w:rPr>
                <w:spacing w:val="-5"/>
              </w:rPr>
              <w:t> </w:t>
            </w:r>
            <w:r>
              <w:rPr/>
              <w:t>mujeres</w:t>
              <w:tab/>
              <w:t>15</w:t>
            </w:r>
          </w:hyperlink>
        </w:p>
        <w:p>
          <w:pPr>
            <w:pStyle w:val="TOC2"/>
            <w:spacing w:before="759"/>
            <w:ind w:left="97"/>
          </w:pPr>
          <w:r>
            <w:rPr/>
            <w:t>Capítulo V</w:t>
          </w:r>
        </w:p>
        <w:p>
          <w:pPr>
            <w:pStyle w:val="TOC1"/>
            <w:tabs>
              <w:tab w:pos="8217" w:val="left" w:leader="dot"/>
            </w:tabs>
            <w:ind w:right="35"/>
          </w:pPr>
          <w:hyperlink w:history="true" w:anchor="_TOC_250002">
            <w:r>
              <w:rPr/>
              <w:t>Obligaciones de los</w:t>
            </w:r>
            <w:r>
              <w:rPr>
                <w:spacing w:val="-12"/>
              </w:rPr>
              <w:t> </w:t>
            </w:r>
            <w:r>
              <w:rPr/>
              <w:t>representantes</w:t>
            </w:r>
            <w:r>
              <w:rPr>
                <w:spacing w:val="-6"/>
              </w:rPr>
              <w:t> </w:t>
            </w:r>
            <w:r>
              <w:rPr/>
              <w:t>municipales</w:t>
              <w:tab/>
              <w:t>16</w:t>
            </w:r>
          </w:hyperlink>
        </w:p>
        <w:p>
          <w:pPr>
            <w:pStyle w:val="TOC2"/>
            <w:tabs>
              <w:tab w:pos="8316" w:val="left" w:leader="dot"/>
            </w:tabs>
            <w:spacing w:line="487" w:lineRule="auto"/>
            <w:ind w:right="139" w:firstLine="22"/>
          </w:pPr>
          <w:hyperlink w:history="true" w:anchor="_TOC_250001">
            <w:r>
              <w:rPr/>
              <w:t>Capítulo                                      VI                  Sanciones</w:t>
              <w:tab/>
            </w:r>
            <w:r>
              <w:rPr>
                <w:spacing w:val="-8"/>
              </w:rPr>
              <w:t>16</w:t>
            </w:r>
          </w:hyperlink>
        </w:p>
        <w:p>
          <w:pPr>
            <w:pStyle w:val="TOC1"/>
            <w:tabs>
              <w:tab w:pos="8236" w:val="left" w:leader="dot"/>
            </w:tabs>
            <w:spacing w:before="545"/>
          </w:pPr>
          <w:hyperlink w:history="true" w:anchor="_TOC_250000">
            <w:r>
              <w:rPr/>
              <w:t>TRANSITORIOS</w:t>
              <w:tab/>
              <w:t>16</w:t>
            </w:r>
          </w:hyperlink>
        </w:p>
      </w:sdtContent>
    </w:sdt>
    <w:p>
      <w:pPr>
        <w:spacing w:after="0"/>
        <w:sectPr>
          <w:type w:val="continuous"/>
          <w:pgSz w:w="11910" w:h="16840"/>
          <w:pgMar w:top="1340" w:bottom="2077" w:left="1600" w:right="1580"/>
        </w:sectPr>
      </w:pPr>
    </w:p>
    <w:p>
      <w:pPr>
        <w:pStyle w:val="BodyText"/>
        <w:rPr>
          <w:rFonts w:ascii="Arial"/>
          <w:sz w:val="28"/>
        </w:rPr>
      </w:pPr>
    </w:p>
    <w:p>
      <w:pPr>
        <w:pStyle w:val="BodyText"/>
        <w:spacing w:before="1"/>
        <w:rPr>
          <w:rFonts w:ascii="Arial"/>
          <w:sz w:val="40"/>
        </w:rPr>
      </w:pPr>
    </w:p>
    <w:p>
      <w:pPr>
        <w:pStyle w:val="Heading1"/>
        <w:spacing w:line="312" w:lineRule="auto"/>
        <w:ind w:left="2726" w:right="1919" w:hanging="800"/>
        <w:jc w:val="left"/>
      </w:pPr>
      <w:bookmarkStart w:name="Reglamento Ley contra la violencia LARS" w:id="3"/>
      <w:bookmarkEnd w:id="3"/>
      <w:r>
        <w:rPr>
          <w:b w:val="0"/>
        </w:rPr>
      </w:r>
      <w:r>
        <w:rPr/>
        <w:t>REGLAMENTO MUNICIPAL DE LA LEY DE ACCESO DE LAS MUJERES A UNA VIDA LIBRE DE VIOLENCIA</w:t>
      </w:r>
    </w:p>
    <w:p>
      <w:pPr>
        <w:pStyle w:val="BodyText"/>
        <w:rPr>
          <w:b/>
          <w:sz w:val="28"/>
        </w:rPr>
      </w:pPr>
    </w:p>
    <w:p>
      <w:pPr>
        <w:pStyle w:val="BodyText"/>
        <w:spacing w:before="4"/>
        <w:rPr>
          <w:b/>
          <w:sz w:val="34"/>
        </w:rPr>
      </w:pPr>
    </w:p>
    <w:p>
      <w:pPr>
        <w:spacing w:line="312" w:lineRule="auto" w:before="0"/>
        <w:ind w:left="3530" w:right="3521" w:firstLine="938"/>
        <w:jc w:val="left"/>
        <w:rPr>
          <w:b/>
          <w:sz w:val="24"/>
        </w:rPr>
      </w:pPr>
      <w:r>
        <w:rPr>
          <w:b/>
          <w:sz w:val="24"/>
        </w:rPr>
        <w:t>CAPÍTULO I DISPOSICIONES GENERALES</w:t>
      </w:r>
    </w:p>
    <w:p>
      <w:pPr>
        <w:pStyle w:val="BodyText"/>
        <w:spacing w:before="2"/>
        <w:rPr>
          <w:b/>
          <w:sz w:val="31"/>
        </w:rPr>
      </w:pPr>
    </w:p>
    <w:p>
      <w:pPr>
        <w:pStyle w:val="BodyText"/>
        <w:spacing w:line="312" w:lineRule="auto"/>
        <w:ind w:left="112" w:right="109"/>
        <w:jc w:val="both"/>
      </w:pPr>
      <w:r>
        <w:rPr>
          <w:b/>
        </w:rPr>
        <w:t>Artículo 1º. </w:t>
      </w:r>
      <w:r>
        <w:rPr/>
        <w:t>Las disposiciones del presente Reglamento son de orden público, interés social y observancia general en el Municipio de Tonalá, Jalisco; Se expide con fundamento en lo dispuesto en el artículo 4, 115 fracción II, de la Constitución Política de los Estados Unidos Mexicanos; artículo 4, fracción II, y artículo 77 fracción II de la Constitución Política del Estado de Jalisco; artículo 40 fracción II y artículo 50 fracción II de la Ley de Gobierno y la Administración Publica Municipal del Estado de Jalisco; así como el artículo 9, del Reglamento de Gobierno y la Administración Pública del Ayuntamiento Constitucional de Tonalá, Jalisco; y tiene por objeto reglamentar:</w:t>
      </w:r>
    </w:p>
    <w:p>
      <w:pPr>
        <w:pStyle w:val="BodyText"/>
        <w:spacing w:before="3"/>
        <w:rPr>
          <w:sz w:val="31"/>
        </w:rPr>
      </w:pPr>
    </w:p>
    <w:p>
      <w:pPr>
        <w:pStyle w:val="ListParagraph"/>
        <w:numPr>
          <w:ilvl w:val="0"/>
          <w:numId w:val="1"/>
        </w:numPr>
        <w:tabs>
          <w:tab w:pos="1192" w:val="left" w:leader="none"/>
          <w:tab w:pos="1193" w:val="left" w:leader="none"/>
        </w:tabs>
        <w:spacing w:line="312" w:lineRule="auto" w:before="0" w:after="0"/>
        <w:ind w:left="1192" w:right="110" w:hanging="720"/>
        <w:jc w:val="left"/>
        <w:rPr>
          <w:sz w:val="24"/>
        </w:rPr>
      </w:pPr>
      <w:r>
        <w:rPr>
          <w:sz w:val="24"/>
        </w:rPr>
        <w:t>La promoción de políticas orientadas a prevenir, atender y erradicar la violencia contra las</w:t>
      </w:r>
      <w:r>
        <w:rPr>
          <w:spacing w:val="-6"/>
          <w:sz w:val="24"/>
        </w:rPr>
        <w:t> </w:t>
      </w:r>
      <w:r>
        <w:rPr>
          <w:sz w:val="24"/>
        </w:rPr>
        <w:t>mujeres;</w:t>
      </w:r>
    </w:p>
    <w:p>
      <w:pPr>
        <w:pStyle w:val="ListParagraph"/>
        <w:numPr>
          <w:ilvl w:val="0"/>
          <w:numId w:val="1"/>
        </w:numPr>
        <w:tabs>
          <w:tab w:pos="1192" w:val="left" w:leader="none"/>
          <w:tab w:pos="1193" w:val="left" w:leader="none"/>
        </w:tabs>
        <w:spacing w:line="312" w:lineRule="auto" w:before="1" w:after="0"/>
        <w:ind w:left="1192" w:right="116" w:hanging="720"/>
        <w:jc w:val="left"/>
        <w:rPr>
          <w:sz w:val="24"/>
        </w:rPr>
      </w:pPr>
      <w:r>
        <w:rPr>
          <w:sz w:val="24"/>
        </w:rPr>
        <w:t>La colaboración con el Estado, en la adopción y consolidación del Programa</w:t>
      </w:r>
      <w:r>
        <w:rPr>
          <w:spacing w:val="-1"/>
          <w:sz w:val="24"/>
        </w:rPr>
        <w:t> </w:t>
      </w:r>
      <w:r>
        <w:rPr>
          <w:sz w:val="24"/>
        </w:rPr>
        <w:t>Estatal;</w:t>
      </w:r>
    </w:p>
    <w:p>
      <w:pPr>
        <w:pStyle w:val="ListParagraph"/>
        <w:numPr>
          <w:ilvl w:val="0"/>
          <w:numId w:val="1"/>
        </w:numPr>
        <w:tabs>
          <w:tab w:pos="1192" w:val="left" w:leader="none"/>
          <w:tab w:pos="1193" w:val="left" w:leader="none"/>
        </w:tabs>
        <w:spacing w:line="312" w:lineRule="auto" w:before="0" w:after="0"/>
        <w:ind w:left="1192" w:right="111" w:hanging="720"/>
        <w:jc w:val="left"/>
        <w:rPr>
          <w:sz w:val="24"/>
        </w:rPr>
      </w:pPr>
      <w:r>
        <w:rPr>
          <w:sz w:val="24"/>
        </w:rPr>
        <w:t>La promoción de cursos de capacitación al personal encargado de atender a las mujeres víctimas de</w:t>
      </w:r>
      <w:r>
        <w:rPr>
          <w:spacing w:val="-7"/>
          <w:sz w:val="24"/>
        </w:rPr>
        <w:t> </w:t>
      </w:r>
      <w:r>
        <w:rPr>
          <w:sz w:val="24"/>
        </w:rPr>
        <w:t>violencia;</w:t>
      </w:r>
    </w:p>
    <w:p>
      <w:pPr>
        <w:pStyle w:val="ListParagraph"/>
        <w:numPr>
          <w:ilvl w:val="0"/>
          <w:numId w:val="1"/>
        </w:numPr>
        <w:tabs>
          <w:tab w:pos="1192" w:val="left" w:leader="none"/>
          <w:tab w:pos="1193" w:val="left" w:leader="none"/>
        </w:tabs>
        <w:spacing w:line="312" w:lineRule="auto" w:before="0" w:after="0"/>
        <w:ind w:left="1192" w:right="111" w:hanging="720"/>
        <w:jc w:val="left"/>
        <w:rPr>
          <w:sz w:val="24"/>
        </w:rPr>
      </w:pPr>
      <w:r>
        <w:rPr>
          <w:sz w:val="24"/>
        </w:rPr>
        <w:t>El apoyo en la creación de centros de refugio temporales para mujeres víctimas de violencia;</w:t>
      </w:r>
    </w:p>
    <w:p>
      <w:pPr>
        <w:pStyle w:val="ListParagraph"/>
        <w:numPr>
          <w:ilvl w:val="0"/>
          <w:numId w:val="1"/>
        </w:numPr>
        <w:tabs>
          <w:tab w:pos="1192" w:val="left" w:leader="none"/>
          <w:tab w:pos="1193" w:val="left" w:leader="none"/>
        </w:tabs>
        <w:spacing w:line="312" w:lineRule="auto" w:before="0" w:after="0"/>
        <w:ind w:left="1192" w:right="111" w:hanging="720"/>
        <w:jc w:val="left"/>
        <w:rPr>
          <w:sz w:val="24"/>
        </w:rPr>
      </w:pPr>
      <w:r>
        <w:rPr>
          <w:sz w:val="24"/>
        </w:rPr>
        <w:t>El apoyo en la creación de programas de reeducación integral para los agresores;</w:t>
      </w:r>
    </w:p>
    <w:p>
      <w:pPr>
        <w:pStyle w:val="ListParagraph"/>
        <w:numPr>
          <w:ilvl w:val="0"/>
          <w:numId w:val="1"/>
        </w:numPr>
        <w:tabs>
          <w:tab w:pos="1192" w:val="left" w:leader="none"/>
          <w:tab w:pos="1193" w:val="left" w:leader="none"/>
        </w:tabs>
        <w:spacing w:line="312" w:lineRule="auto" w:before="0" w:after="0"/>
        <w:ind w:left="1192" w:right="110" w:hanging="720"/>
        <w:jc w:val="left"/>
        <w:rPr>
          <w:sz w:val="24"/>
        </w:rPr>
      </w:pPr>
      <w:r>
        <w:rPr>
          <w:sz w:val="24"/>
        </w:rPr>
        <w:t>La participación en la prevención, atención y erradicación de la violencia contra las mujeres;</w:t>
      </w:r>
      <w:r>
        <w:rPr>
          <w:spacing w:val="-4"/>
          <w:sz w:val="24"/>
        </w:rPr>
        <w:t> </w:t>
      </w:r>
      <w:r>
        <w:rPr>
          <w:sz w:val="24"/>
        </w:rPr>
        <w:t>y</w:t>
      </w:r>
    </w:p>
    <w:p>
      <w:pPr>
        <w:pStyle w:val="ListParagraph"/>
        <w:numPr>
          <w:ilvl w:val="0"/>
          <w:numId w:val="1"/>
        </w:numPr>
        <w:tabs>
          <w:tab w:pos="1192" w:val="left" w:leader="none"/>
          <w:tab w:pos="1193" w:val="left" w:leader="none"/>
        </w:tabs>
        <w:spacing w:line="312" w:lineRule="auto" w:before="0" w:after="0"/>
        <w:ind w:left="1192" w:right="113" w:hanging="720"/>
        <w:jc w:val="left"/>
        <w:rPr>
          <w:sz w:val="24"/>
        </w:rPr>
      </w:pPr>
      <w:r>
        <w:rPr>
          <w:sz w:val="24"/>
        </w:rPr>
        <w:t>La celebración con dependencias públicas y privadas, de convenios de cooperación, coordinación y concertación en la</w:t>
      </w:r>
      <w:r>
        <w:rPr>
          <w:spacing w:val="-10"/>
          <w:sz w:val="24"/>
        </w:rPr>
        <w:t> </w:t>
      </w:r>
      <w:r>
        <w:rPr>
          <w:sz w:val="24"/>
        </w:rPr>
        <w:t>materia.</w:t>
      </w:r>
    </w:p>
    <w:p>
      <w:pPr>
        <w:pStyle w:val="BodyText"/>
        <w:spacing w:before="2"/>
        <w:rPr>
          <w:sz w:val="31"/>
        </w:rPr>
      </w:pPr>
    </w:p>
    <w:p>
      <w:pPr>
        <w:pStyle w:val="BodyText"/>
        <w:ind w:left="112"/>
        <w:jc w:val="both"/>
      </w:pPr>
      <w:r>
        <w:rPr>
          <w:b/>
        </w:rPr>
        <w:t>Artículo 2º. </w:t>
      </w:r>
      <w:r>
        <w:rPr/>
        <w:t>Para los efectos del presente reglamento, se entenderá por:</w:t>
      </w:r>
    </w:p>
    <w:p>
      <w:pPr>
        <w:spacing w:after="0"/>
        <w:jc w:val="both"/>
        <w:sectPr>
          <w:footerReference w:type="default" r:id="rId5"/>
          <w:pgSz w:w="12250" w:h="15850"/>
          <w:pgMar w:footer="1060" w:header="0" w:top="1500" w:bottom="1260" w:left="1020" w:right="1020"/>
          <w:pgNumType w:start="1"/>
        </w:sectPr>
      </w:pPr>
    </w:p>
    <w:p>
      <w:pPr>
        <w:pStyle w:val="ListParagraph"/>
        <w:numPr>
          <w:ilvl w:val="0"/>
          <w:numId w:val="2"/>
        </w:numPr>
        <w:tabs>
          <w:tab w:pos="1192" w:val="left" w:leader="none"/>
          <w:tab w:pos="1193" w:val="left" w:leader="none"/>
        </w:tabs>
        <w:spacing w:line="240" w:lineRule="auto" w:before="77" w:after="0"/>
        <w:ind w:left="1192" w:right="0" w:hanging="721"/>
        <w:jc w:val="left"/>
        <w:rPr>
          <w:sz w:val="24"/>
        </w:rPr>
      </w:pPr>
      <w:r>
        <w:rPr>
          <w:b/>
          <w:sz w:val="24"/>
        </w:rPr>
        <w:t>Banco de Datos</w:t>
      </w:r>
      <w:r>
        <w:rPr>
          <w:sz w:val="24"/>
        </w:rPr>
        <w:t>: Al Sistema de Registro de la Información Estadística</w:t>
      </w:r>
      <w:r>
        <w:rPr>
          <w:spacing w:val="-20"/>
          <w:sz w:val="24"/>
        </w:rPr>
        <w:t> </w:t>
      </w:r>
      <w:r>
        <w:rPr>
          <w:sz w:val="24"/>
        </w:rPr>
        <w:t>sobre</w:t>
      </w:r>
    </w:p>
    <w:p>
      <w:pPr>
        <w:pStyle w:val="ListParagraph"/>
        <w:numPr>
          <w:ilvl w:val="0"/>
          <w:numId w:val="2"/>
        </w:numPr>
        <w:tabs>
          <w:tab w:pos="1192" w:val="left" w:leader="none"/>
          <w:tab w:pos="1193" w:val="left" w:leader="none"/>
        </w:tabs>
        <w:spacing w:line="240" w:lineRule="auto" w:before="88" w:after="0"/>
        <w:ind w:left="1192" w:right="0" w:hanging="721"/>
        <w:jc w:val="left"/>
        <w:rPr>
          <w:sz w:val="24"/>
        </w:rPr>
      </w:pPr>
      <w:r>
        <w:rPr>
          <w:sz w:val="24"/>
        </w:rPr>
        <w:t>Violencia de Género en el</w:t>
      </w:r>
      <w:r>
        <w:rPr>
          <w:spacing w:val="-1"/>
          <w:sz w:val="24"/>
        </w:rPr>
        <w:t> </w:t>
      </w:r>
      <w:r>
        <w:rPr>
          <w:sz w:val="24"/>
        </w:rPr>
        <w:t>Estado;</w:t>
      </w:r>
    </w:p>
    <w:p>
      <w:pPr>
        <w:pStyle w:val="ListParagraph"/>
        <w:numPr>
          <w:ilvl w:val="0"/>
          <w:numId w:val="2"/>
        </w:numPr>
        <w:tabs>
          <w:tab w:pos="1192" w:val="left" w:leader="none"/>
          <w:tab w:pos="1193" w:val="left" w:leader="none"/>
        </w:tabs>
        <w:spacing w:line="312" w:lineRule="auto" w:before="90" w:after="0"/>
        <w:ind w:left="1192" w:right="110" w:hanging="720"/>
        <w:jc w:val="left"/>
        <w:rPr>
          <w:sz w:val="24"/>
        </w:rPr>
      </w:pPr>
      <w:r>
        <w:rPr>
          <w:b/>
          <w:sz w:val="24"/>
        </w:rPr>
        <w:t>Consejo Estatal: </w:t>
      </w:r>
      <w:r>
        <w:rPr>
          <w:sz w:val="24"/>
        </w:rPr>
        <w:t>Consejo Estatal para Prevenir, Atender y Erradicar la Violencia contra las</w:t>
      </w:r>
      <w:r>
        <w:rPr>
          <w:spacing w:val="-5"/>
          <w:sz w:val="24"/>
        </w:rPr>
        <w:t> </w:t>
      </w:r>
      <w:r>
        <w:rPr>
          <w:sz w:val="24"/>
        </w:rPr>
        <w:t>Mujeres;</w:t>
      </w:r>
    </w:p>
    <w:p>
      <w:pPr>
        <w:pStyle w:val="ListParagraph"/>
        <w:numPr>
          <w:ilvl w:val="0"/>
          <w:numId w:val="2"/>
        </w:numPr>
        <w:tabs>
          <w:tab w:pos="1192" w:val="left" w:leader="none"/>
          <w:tab w:pos="1193" w:val="left" w:leader="none"/>
          <w:tab w:pos="3177" w:val="left" w:leader="none"/>
          <w:tab w:pos="4533" w:val="left" w:leader="none"/>
          <w:tab w:pos="4898" w:val="left" w:leader="none"/>
          <w:tab w:pos="6503" w:val="left" w:leader="none"/>
          <w:tab w:pos="7694" w:val="left" w:leader="none"/>
          <w:tab w:pos="8366" w:val="left" w:leader="none"/>
          <w:tab w:pos="9870" w:val="left" w:leader="none"/>
        </w:tabs>
        <w:spacing w:line="312" w:lineRule="auto" w:before="0" w:after="0"/>
        <w:ind w:left="1192" w:right="112" w:hanging="720"/>
        <w:jc w:val="left"/>
        <w:rPr>
          <w:sz w:val="24"/>
        </w:rPr>
      </w:pPr>
      <w:r>
        <w:rPr>
          <w:b/>
          <w:sz w:val="24"/>
        </w:rPr>
        <w:t>Dependencias:</w:t>
        <w:tab/>
      </w:r>
      <w:r>
        <w:rPr>
          <w:sz w:val="24"/>
        </w:rPr>
        <w:t>Entidades</w:t>
        <w:tab/>
        <w:t>e</w:t>
        <w:tab/>
        <w:t>instituciones</w:t>
        <w:tab/>
        <w:t>públicas</w:t>
        <w:tab/>
        <w:t>que</w:t>
        <w:tab/>
        <w:t>conforman</w:t>
        <w:tab/>
      </w:r>
      <w:r>
        <w:rPr>
          <w:spacing w:val="-6"/>
          <w:sz w:val="24"/>
        </w:rPr>
        <w:t>la </w:t>
      </w:r>
      <w:r>
        <w:rPr>
          <w:sz w:val="24"/>
        </w:rPr>
        <w:t>administración pública</w:t>
      </w:r>
      <w:r>
        <w:rPr>
          <w:spacing w:val="-1"/>
          <w:sz w:val="24"/>
        </w:rPr>
        <w:t> </w:t>
      </w:r>
      <w:r>
        <w:rPr>
          <w:sz w:val="24"/>
        </w:rPr>
        <w:t>municipal;</w:t>
      </w:r>
    </w:p>
    <w:p>
      <w:pPr>
        <w:pStyle w:val="ListParagraph"/>
        <w:numPr>
          <w:ilvl w:val="0"/>
          <w:numId w:val="2"/>
        </w:numPr>
        <w:tabs>
          <w:tab w:pos="1192" w:val="left" w:leader="none"/>
          <w:tab w:pos="1193" w:val="left" w:leader="none"/>
        </w:tabs>
        <w:spacing w:line="240" w:lineRule="auto" w:before="0" w:after="0"/>
        <w:ind w:left="1192" w:right="0" w:hanging="721"/>
        <w:jc w:val="left"/>
        <w:rPr>
          <w:sz w:val="24"/>
        </w:rPr>
      </w:pPr>
      <w:r>
        <w:rPr>
          <w:b/>
          <w:sz w:val="24"/>
        </w:rPr>
        <w:t>Instituto</w:t>
      </w:r>
      <w:r>
        <w:rPr>
          <w:sz w:val="24"/>
        </w:rPr>
        <w:t>: Instituto Jalisciense de las</w:t>
      </w:r>
      <w:r>
        <w:rPr>
          <w:spacing w:val="-13"/>
          <w:sz w:val="24"/>
        </w:rPr>
        <w:t> </w:t>
      </w:r>
      <w:r>
        <w:rPr>
          <w:sz w:val="24"/>
        </w:rPr>
        <w:t>Mujeres;</w:t>
      </w:r>
    </w:p>
    <w:p>
      <w:pPr>
        <w:pStyle w:val="ListParagraph"/>
        <w:numPr>
          <w:ilvl w:val="0"/>
          <w:numId w:val="2"/>
        </w:numPr>
        <w:tabs>
          <w:tab w:pos="1192" w:val="left" w:leader="none"/>
          <w:tab w:pos="1193" w:val="left" w:leader="none"/>
        </w:tabs>
        <w:spacing w:line="312" w:lineRule="auto" w:before="88" w:after="0"/>
        <w:ind w:left="1192" w:right="110" w:hanging="720"/>
        <w:jc w:val="left"/>
        <w:rPr>
          <w:sz w:val="24"/>
        </w:rPr>
      </w:pPr>
      <w:r>
        <w:rPr>
          <w:b/>
          <w:sz w:val="24"/>
        </w:rPr>
        <w:t>Ley Estatal: </w:t>
      </w:r>
      <w:r>
        <w:rPr>
          <w:sz w:val="24"/>
        </w:rPr>
        <w:t>La Ley de Acceso de las Mujeres a una Vida Libre de Violencia del Estado de</w:t>
      </w:r>
      <w:r>
        <w:rPr>
          <w:spacing w:val="1"/>
          <w:sz w:val="24"/>
        </w:rPr>
        <w:t> </w:t>
      </w:r>
      <w:r>
        <w:rPr>
          <w:sz w:val="24"/>
        </w:rPr>
        <w:t>Jalisco;</w:t>
      </w:r>
    </w:p>
    <w:p>
      <w:pPr>
        <w:pStyle w:val="ListParagraph"/>
        <w:numPr>
          <w:ilvl w:val="0"/>
          <w:numId w:val="2"/>
        </w:numPr>
        <w:tabs>
          <w:tab w:pos="1192" w:val="left" w:leader="none"/>
          <w:tab w:pos="1193" w:val="left" w:leader="none"/>
        </w:tabs>
        <w:spacing w:line="312" w:lineRule="auto" w:before="0" w:after="0"/>
        <w:ind w:left="1192" w:right="112" w:hanging="720"/>
        <w:jc w:val="left"/>
        <w:rPr>
          <w:sz w:val="24"/>
        </w:rPr>
      </w:pPr>
      <w:r>
        <w:rPr>
          <w:b/>
          <w:sz w:val="24"/>
        </w:rPr>
        <w:t>Principios rectores: </w:t>
      </w:r>
      <w:r>
        <w:rPr>
          <w:sz w:val="24"/>
        </w:rPr>
        <w:t>Los principios contenidos en el artículo 5º de la Ley Estatal;</w:t>
      </w:r>
      <w:r>
        <w:rPr>
          <w:spacing w:val="-2"/>
          <w:sz w:val="24"/>
        </w:rPr>
        <w:t> </w:t>
      </w:r>
      <w:r>
        <w:rPr>
          <w:sz w:val="24"/>
        </w:rPr>
        <w:t>y</w:t>
      </w:r>
    </w:p>
    <w:p>
      <w:pPr>
        <w:pStyle w:val="ListParagraph"/>
        <w:numPr>
          <w:ilvl w:val="0"/>
          <w:numId w:val="2"/>
        </w:numPr>
        <w:tabs>
          <w:tab w:pos="1192" w:val="left" w:leader="none"/>
          <w:tab w:pos="1193" w:val="left" w:leader="none"/>
        </w:tabs>
        <w:spacing w:line="312" w:lineRule="auto" w:before="0" w:after="0"/>
        <w:ind w:left="1192" w:right="110" w:hanging="720"/>
        <w:jc w:val="left"/>
        <w:rPr>
          <w:sz w:val="24"/>
        </w:rPr>
      </w:pPr>
      <w:r>
        <w:rPr>
          <w:b/>
          <w:sz w:val="24"/>
        </w:rPr>
        <w:t>Programa Estatal: </w:t>
      </w:r>
      <w:r>
        <w:rPr>
          <w:sz w:val="24"/>
        </w:rPr>
        <w:t>Programa Estatal para Prevenir, Atender y Erradicar la Violencia contra las</w:t>
      </w:r>
      <w:r>
        <w:rPr>
          <w:spacing w:val="-5"/>
          <w:sz w:val="24"/>
        </w:rPr>
        <w:t> </w:t>
      </w:r>
      <w:r>
        <w:rPr>
          <w:sz w:val="24"/>
        </w:rPr>
        <w:t>Mujeres.</w:t>
      </w:r>
    </w:p>
    <w:p>
      <w:pPr>
        <w:pStyle w:val="BodyText"/>
        <w:rPr>
          <w:sz w:val="31"/>
        </w:rPr>
      </w:pPr>
    </w:p>
    <w:p>
      <w:pPr>
        <w:pStyle w:val="BodyText"/>
        <w:spacing w:line="312" w:lineRule="auto" w:before="1"/>
        <w:ind w:left="112" w:right="111"/>
        <w:jc w:val="both"/>
      </w:pPr>
      <w:r>
        <w:rPr>
          <w:b/>
        </w:rPr>
        <w:t>Artículo 3º. </w:t>
      </w:r>
      <w:r>
        <w:rPr/>
        <w:t>Las disposiciones de este Reglamento complementan los principios consagrados en los Tratados Internacionales en materia de protección de los derechos humanos de las mujeres, en la Constitución Política de los Estados Unidos Mexicanos y en la particular del Estado, así como lo dispuesto por la Ley General de Acceso de las Mujeres a una Vida Libre de Violencia, la Ley Estatal y el Reglamento de la Ley Estatal.</w:t>
      </w:r>
    </w:p>
    <w:p>
      <w:pPr>
        <w:pStyle w:val="BodyText"/>
        <w:spacing w:before="3"/>
        <w:rPr>
          <w:sz w:val="31"/>
        </w:rPr>
      </w:pPr>
    </w:p>
    <w:p>
      <w:pPr>
        <w:pStyle w:val="BodyText"/>
        <w:ind w:left="112"/>
        <w:jc w:val="both"/>
      </w:pPr>
      <w:r>
        <w:rPr>
          <w:b/>
        </w:rPr>
        <w:t>Artículo 4º. </w:t>
      </w:r>
      <w:r>
        <w:rPr/>
        <w:t>Las víctimas de violencia tendrán los siguientes derechos:</w:t>
      </w:r>
    </w:p>
    <w:p>
      <w:pPr>
        <w:pStyle w:val="BodyText"/>
        <w:spacing w:before="5"/>
        <w:rPr>
          <w:sz w:val="38"/>
        </w:rPr>
      </w:pPr>
    </w:p>
    <w:p>
      <w:pPr>
        <w:pStyle w:val="ListParagraph"/>
        <w:numPr>
          <w:ilvl w:val="0"/>
          <w:numId w:val="3"/>
        </w:numPr>
        <w:tabs>
          <w:tab w:pos="1193" w:val="left" w:leader="none"/>
        </w:tabs>
        <w:spacing w:line="240" w:lineRule="auto" w:before="0" w:after="0"/>
        <w:ind w:left="1192" w:right="0" w:hanging="721"/>
        <w:jc w:val="both"/>
        <w:rPr>
          <w:sz w:val="24"/>
        </w:rPr>
      </w:pPr>
      <w:r>
        <w:rPr>
          <w:sz w:val="24"/>
        </w:rPr>
        <w:t>Protección inmediata y efectiva por parte de las</w:t>
      </w:r>
      <w:r>
        <w:rPr>
          <w:spacing w:val="-6"/>
          <w:sz w:val="24"/>
        </w:rPr>
        <w:t> </w:t>
      </w:r>
      <w:r>
        <w:rPr>
          <w:sz w:val="24"/>
        </w:rPr>
        <w:t>autoridades;</w:t>
      </w:r>
    </w:p>
    <w:p>
      <w:pPr>
        <w:pStyle w:val="ListParagraph"/>
        <w:numPr>
          <w:ilvl w:val="0"/>
          <w:numId w:val="3"/>
        </w:numPr>
        <w:tabs>
          <w:tab w:pos="1193" w:val="left" w:leader="none"/>
        </w:tabs>
        <w:spacing w:line="312" w:lineRule="auto" w:before="88" w:after="0"/>
        <w:ind w:left="1192" w:right="113" w:hanging="720"/>
        <w:jc w:val="both"/>
        <w:rPr>
          <w:sz w:val="24"/>
        </w:rPr>
      </w:pPr>
      <w:r>
        <w:rPr>
          <w:sz w:val="24"/>
        </w:rPr>
        <w:t>Asistencia legal, médica, psicológica y social inmediata, para la atención de las consecuencias generadas por la</w:t>
      </w:r>
      <w:r>
        <w:rPr>
          <w:spacing w:val="-3"/>
          <w:sz w:val="24"/>
        </w:rPr>
        <w:t> </w:t>
      </w:r>
      <w:r>
        <w:rPr>
          <w:sz w:val="24"/>
        </w:rPr>
        <w:t>violencia;</w:t>
      </w:r>
    </w:p>
    <w:p>
      <w:pPr>
        <w:pStyle w:val="ListParagraph"/>
        <w:numPr>
          <w:ilvl w:val="0"/>
          <w:numId w:val="3"/>
        </w:numPr>
        <w:tabs>
          <w:tab w:pos="1193" w:val="left" w:leader="none"/>
        </w:tabs>
        <w:spacing w:line="312" w:lineRule="auto" w:before="0" w:after="0"/>
        <w:ind w:left="1192" w:right="113" w:hanging="720"/>
        <w:jc w:val="both"/>
        <w:rPr>
          <w:sz w:val="24"/>
        </w:rPr>
      </w:pPr>
      <w:r>
        <w:rPr>
          <w:sz w:val="24"/>
        </w:rPr>
        <w:t>Atención y asistencia en un refugio temporal, o en una Institución para la protección de los menores, según sea el</w:t>
      </w:r>
      <w:r>
        <w:rPr>
          <w:spacing w:val="-6"/>
          <w:sz w:val="24"/>
        </w:rPr>
        <w:t> </w:t>
      </w:r>
      <w:r>
        <w:rPr>
          <w:sz w:val="24"/>
        </w:rPr>
        <w:t>caso;</w:t>
      </w:r>
    </w:p>
    <w:p>
      <w:pPr>
        <w:pStyle w:val="ListParagraph"/>
        <w:numPr>
          <w:ilvl w:val="0"/>
          <w:numId w:val="3"/>
        </w:numPr>
        <w:tabs>
          <w:tab w:pos="1193" w:val="left" w:leader="none"/>
        </w:tabs>
        <w:spacing w:line="312" w:lineRule="auto" w:before="1" w:after="0"/>
        <w:ind w:left="1192" w:right="115" w:hanging="720"/>
        <w:jc w:val="both"/>
        <w:rPr>
          <w:sz w:val="24"/>
        </w:rPr>
      </w:pPr>
      <w:r>
        <w:rPr>
          <w:sz w:val="24"/>
        </w:rPr>
        <w:t>Trato digno, respeto y privacidad durante cualquier diligencia, entrevista o actuación que se practique para su</w:t>
      </w:r>
      <w:r>
        <w:rPr>
          <w:spacing w:val="-1"/>
          <w:sz w:val="24"/>
        </w:rPr>
        <w:t> </w:t>
      </w:r>
      <w:r>
        <w:rPr>
          <w:sz w:val="24"/>
        </w:rPr>
        <w:t>atención;</w:t>
      </w:r>
    </w:p>
    <w:p>
      <w:pPr>
        <w:pStyle w:val="ListParagraph"/>
        <w:numPr>
          <w:ilvl w:val="0"/>
          <w:numId w:val="3"/>
        </w:numPr>
        <w:tabs>
          <w:tab w:pos="1193" w:val="left" w:leader="none"/>
        </w:tabs>
        <w:spacing w:line="312" w:lineRule="auto" w:before="0" w:after="0"/>
        <w:ind w:left="1192" w:right="114" w:hanging="720"/>
        <w:jc w:val="both"/>
        <w:rPr>
          <w:sz w:val="24"/>
        </w:rPr>
      </w:pPr>
      <w:r>
        <w:rPr>
          <w:sz w:val="24"/>
        </w:rPr>
        <w:t>A ser valoradas y educadas libres de estereotipos de comportamiento y prácticas sociales y culturales, basadas en conceptos de inferioridad o subordinación;</w:t>
      </w:r>
    </w:p>
    <w:p>
      <w:pPr>
        <w:pStyle w:val="ListParagraph"/>
        <w:numPr>
          <w:ilvl w:val="0"/>
          <w:numId w:val="3"/>
        </w:numPr>
        <w:tabs>
          <w:tab w:pos="1193" w:val="left" w:leader="none"/>
        </w:tabs>
        <w:spacing w:line="294" w:lineRule="exact" w:before="0" w:after="0"/>
        <w:ind w:left="1192" w:right="0" w:hanging="721"/>
        <w:jc w:val="both"/>
        <w:rPr>
          <w:sz w:val="24"/>
        </w:rPr>
      </w:pPr>
      <w:r>
        <w:rPr>
          <w:sz w:val="24"/>
        </w:rPr>
        <w:t>A que se tomen las medidas de protección previstas en este</w:t>
      </w:r>
      <w:r>
        <w:rPr>
          <w:spacing w:val="-18"/>
          <w:sz w:val="24"/>
        </w:rPr>
        <w:t> </w:t>
      </w:r>
      <w:r>
        <w:rPr>
          <w:sz w:val="24"/>
        </w:rPr>
        <w:t>Reglamento;</w:t>
      </w:r>
    </w:p>
    <w:p>
      <w:pPr>
        <w:spacing w:after="0" w:line="294" w:lineRule="exact"/>
        <w:jc w:val="both"/>
        <w:rPr>
          <w:sz w:val="24"/>
        </w:rPr>
        <w:sectPr>
          <w:pgSz w:w="12250" w:h="15850"/>
          <w:pgMar w:header="0" w:footer="1060" w:top="1440" w:bottom="1260" w:left="1020" w:right="1020"/>
        </w:sectPr>
      </w:pPr>
    </w:p>
    <w:p>
      <w:pPr>
        <w:pStyle w:val="ListParagraph"/>
        <w:numPr>
          <w:ilvl w:val="0"/>
          <w:numId w:val="3"/>
        </w:numPr>
        <w:tabs>
          <w:tab w:pos="1193" w:val="left" w:leader="none"/>
        </w:tabs>
        <w:spacing w:line="312" w:lineRule="auto" w:before="73" w:after="0"/>
        <w:ind w:left="1192" w:right="110" w:hanging="720"/>
        <w:jc w:val="both"/>
        <w:rPr>
          <w:sz w:val="24"/>
        </w:rPr>
      </w:pPr>
      <w:r>
        <w:rPr>
          <w:sz w:val="24"/>
        </w:rPr>
        <w:t>A recibir información y asesoramiento sobre sus derechos y las medidas de protección y seguridad previstas en el presente Reglamento; así como a la orientación para su derivación o canalización a las instancias o Instituciones Públicas o privadas</w:t>
      </w:r>
      <w:r>
        <w:rPr>
          <w:spacing w:val="-3"/>
          <w:sz w:val="24"/>
        </w:rPr>
        <w:t> </w:t>
      </w:r>
      <w:r>
        <w:rPr>
          <w:sz w:val="24"/>
        </w:rPr>
        <w:t>especializadas;</w:t>
      </w:r>
    </w:p>
    <w:p>
      <w:pPr>
        <w:pStyle w:val="ListParagraph"/>
        <w:numPr>
          <w:ilvl w:val="0"/>
          <w:numId w:val="3"/>
        </w:numPr>
        <w:tabs>
          <w:tab w:pos="1193" w:val="left" w:leader="none"/>
        </w:tabs>
        <w:spacing w:line="312" w:lineRule="auto" w:before="2" w:after="0"/>
        <w:ind w:left="1192" w:right="110" w:hanging="720"/>
        <w:jc w:val="both"/>
        <w:rPr>
          <w:sz w:val="24"/>
        </w:rPr>
      </w:pPr>
      <w:r>
        <w:rPr>
          <w:sz w:val="24"/>
        </w:rPr>
        <w:t>Las mujeres con discapacidad víctimas de violencia, recibirán la información a que se refiere el párrafo anterior, en forma accesible y comprensible;</w:t>
      </w:r>
      <w:r>
        <w:rPr>
          <w:spacing w:val="-2"/>
          <w:sz w:val="24"/>
        </w:rPr>
        <w:t> </w:t>
      </w:r>
      <w:r>
        <w:rPr>
          <w:sz w:val="24"/>
        </w:rPr>
        <w:t>y,</w:t>
      </w:r>
    </w:p>
    <w:p>
      <w:pPr>
        <w:pStyle w:val="ListParagraph"/>
        <w:numPr>
          <w:ilvl w:val="0"/>
          <w:numId w:val="3"/>
        </w:numPr>
        <w:tabs>
          <w:tab w:pos="1193" w:val="left" w:leader="none"/>
        </w:tabs>
        <w:spacing w:line="312" w:lineRule="auto" w:before="0" w:after="0"/>
        <w:ind w:left="1192" w:right="112" w:hanging="720"/>
        <w:jc w:val="both"/>
        <w:rPr>
          <w:sz w:val="24"/>
        </w:rPr>
      </w:pPr>
      <w:r>
        <w:rPr>
          <w:sz w:val="24"/>
        </w:rPr>
        <w:t>A todos los derechos reconocidos en el presente Reglamento, con independencia de su origen, religión o cualquier otra condición o circunstancia personal o</w:t>
      </w:r>
      <w:r>
        <w:rPr>
          <w:spacing w:val="3"/>
          <w:sz w:val="24"/>
        </w:rPr>
        <w:t> </w:t>
      </w:r>
      <w:r>
        <w:rPr>
          <w:sz w:val="24"/>
        </w:rPr>
        <w:t>social.</w:t>
      </w:r>
    </w:p>
    <w:p>
      <w:pPr>
        <w:pStyle w:val="BodyText"/>
        <w:spacing w:before="2"/>
        <w:rPr>
          <w:sz w:val="31"/>
        </w:rPr>
      </w:pPr>
    </w:p>
    <w:p>
      <w:pPr>
        <w:pStyle w:val="BodyText"/>
        <w:tabs>
          <w:tab w:pos="1231" w:val="left" w:leader="none"/>
          <w:tab w:pos="1744" w:val="left" w:leader="none"/>
          <w:tab w:pos="2392" w:val="left" w:leader="none"/>
          <w:tab w:pos="4029" w:val="left" w:leader="none"/>
          <w:tab w:pos="5764" w:val="left" w:leader="none"/>
          <w:tab w:pos="6551" w:val="left" w:leader="none"/>
          <w:tab w:pos="6993" w:val="left" w:leader="none"/>
          <w:tab w:pos="8466" w:val="left" w:leader="none"/>
          <w:tab w:pos="9064" w:val="left" w:leader="none"/>
        </w:tabs>
        <w:spacing w:line="312" w:lineRule="auto" w:before="1"/>
        <w:ind w:left="112" w:right="115"/>
      </w:pPr>
      <w:r>
        <w:rPr>
          <w:b/>
        </w:rPr>
        <w:t>Artículo</w:t>
        <w:tab/>
        <w:t>5º.</w:t>
        <w:tab/>
      </w:r>
      <w:r>
        <w:rPr/>
        <w:t>Son</w:t>
        <w:tab/>
        <w:t>autoridades</w:t>
        <w:tab/>
        <w:t>responsables</w:t>
        <w:tab/>
        <w:t>para</w:t>
        <w:tab/>
        <w:t>la</w:t>
        <w:tab/>
        <w:t>aplicación</w:t>
        <w:tab/>
        <w:t>del</w:t>
        <w:tab/>
      </w:r>
      <w:r>
        <w:rPr>
          <w:spacing w:val="-3"/>
        </w:rPr>
        <w:t>presente </w:t>
      </w:r>
      <w:r>
        <w:rPr/>
        <w:t>Reglamento en el</w:t>
      </w:r>
      <w:r>
        <w:rPr>
          <w:spacing w:val="1"/>
        </w:rPr>
        <w:t> </w:t>
      </w:r>
      <w:r>
        <w:rPr/>
        <w:t>municipio:</w:t>
      </w:r>
    </w:p>
    <w:p>
      <w:pPr>
        <w:pStyle w:val="BodyText"/>
        <w:spacing w:before="2"/>
        <w:rPr>
          <w:sz w:val="31"/>
        </w:rPr>
      </w:pPr>
    </w:p>
    <w:p>
      <w:pPr>
        <w:pStyle w:val="ListParagraph"/>
        <w:numPr>
          <w:ilvl w:val="0"/>
          <w:numId w:val="4"/>
        </w:numPr>
        <w:tabs>
          <w:tab w:pos="1192" w:val="left" w:leader="none"/>
          <w:tab w:pos="1193" w:val="left" w:leader="none"/>
        </w:tabs>
        <w:spacing w:line="240" w:lineRule="auto" w:before="0" w:after="0"/>
        <w:ind w:left="1192" w:right="0" w:hanging="721"/>
        <w:jc w:val="left"/>
        <w:rPr>
          <w:sz w:val="24"/>
        </w:rPr>
      </w:pPr>
      <w:r>
        <w:rPr>
          <w:sz w:val="24"/>
        </w:rPr>
        <w:t>El</w:t>
      </w:r>
      <w:r>
        <w:rPr>
          <w:spacing w:val="2"/>
          <w:sz w:val="24"/>
        </w:rPr>
        <w:t> </w:t>
      </w:r>
      <w:r>
        <w:rPr>
          <w:sz w:val="24"/>
        </w:rPr>
        <w:t>Presidente;</w:t>
      </w:r>
    </w:p>
    <w:p>
      <w:pPr>
        <w:pStyle w:val="ListParagraph"/>
        <w:numPr>
          <w:ilvl w:val="0"/>
          <w:numId w:val="4"/>
        </w:numPr>
        <w:tabs>
          <w:tab w:pos="1192" w:val="left" w:leader="none"/>
          <w:tab w:pos="1193" w:val="left" w:leader="none"/>
        </w:tabs>
        <w:spacing w:line="240" w:lineRule="auto" w:before="87" w:after="0"/>
        <w:ind w:left="1192" w:right="0" w:hanging="721"/>
        <w:jc w:val="left"/>
        <w:rPr>
          <w:sz w:val="24"/>
        </w:rPr>
      </w:pPr>
      <w:r>
        <w:rPr>
          <w:sz w:val="24"/>
        </w:rPr>
        <w:t>La Secretaría General del</w:t>
      </w:r>
      <w:r>
        <w:rPr>
          <w:spacing w:val="3"/>
          <w:sz w:val="24"/>
        </w:rPr>
        <w:t> </w:t>
      </w:r>
      <w:r>
        <w:rPr>
          <w:sz w:val="24"/>
        </w:rPr>
        <w:t>Ayuntamiento;</w:t>
      </w:r>
    </w:p>
    <w:p>
      <w:pPr>
        <w:pStyle w:val="ListParagraph"/>
        <w:numPr>
          <w:ilvl w:val="0"/>
          <w:numId w:val="4"/>
        </w:numPr>
        <w:tabs>
          <w:tab w:pos="1192" w:val="left" w:leader="none"/>
          <w:tab w:pos="1193" w:val="left" w:leader="none"/>
        </w:tabs>
        <w:spacing w:line="240" w:lineRule="auto" w:before="90" w:after="0"/>
        <w:ind w:left="1192" w:right="0" w:hanging="721"/>
        <w:jc w:val="left"/>
        <w:rPr>
          <w:sz w:val="24"/>
        </w:rPr>
      </w:pPr>
      <w:r>
        <w:rPr>
          <w:sz w:val="24"/>
        </w:rPr>
        <w:t>La Sindicatura del</w:t>
      </w:r>
      <w:r>
        <w:rPr>
          <w:spacing w:val="4"/>
          <w:sz w:val="24"/>
        </w:rPr>
        <w:t> </w:t>
      </w:r>
      <w:r>
        <w:rPr>
          <w:sz w:val="24"/>
        </w:rPr>
        <w:t>Ayuntamiento;</w:t>
      </w:r>
    </w:p>
    <w:p>
      <w:pPr>
        <w:pStyle w:val="ListParagraph"/>
        <w:numPr>
          <w:ilvl w:val="0"/>
          <w:numId w:val="4"/>
        </w:numPr>
        <w:tabs>
          <w:tab w:pos="1192" w:val="left" w:leader="none"/>
          <w:tab w:pos="1193" w:val="left" w:leader="none"/>
        </w:tabs>
        <w:spacing w:line="240" w:lineRule="auto" w:before="87" w:after="0"/>
        <w:ind w:left="1192" w:right="0" w:hanging="721"/>
        <w:jc w:val="left"/>
        <w:rPr>
          <w:sz w:val="24"/>
        </w:rPr>
      </w:pPr>
      <w:r>
        <w:rPr>
          <w:sz w:val="24"/>
        </w:rPr>
        <w:t>Los regidores;</w:t>
      </w:r>
    </w:p>
    <w:p>
      <w:pPr>
        <w:pStyle w:val="ListParagraph"/>
        <w:numPr>
          <w:ilvl w:val="0"/>
          <w:numId w:val="4"/>
        </w:numPr>
        <w:tabs>
          <w:tab w:pos="1192" w:val="left" w:leader="none"/>
          <w:tab w:pos="1193" w:val="left" w:leader="none"/>
        </w:tabs>
        <w:spacing w:line="240" w:lineRule="auto" w:before="90" w:after="0"/>
        <w:ind w:left="1192" w:right="0" w:hanging="721"/>
        <w:jc w:val="left"/>
        <w:rPr>
          <w:sz w:val="24"/>
        </w:rPr>
      </w:pPr>
      <w:r>
        <w:rPr>
          <w:sz w:val="24"/>
        </w:rPr>
        <w:t>Los jueces</w:t>
      </w:r>
      <w:r>
        <w:rPr>
          <w:spacing w:val="-2"/>
          <w:sz w:val="24"/>
        </w:rPr>
        <w:t> </w:t>
      </w:r>
      <w:r>
        <w:rPr>
          <w:sz w:val="24"/>
        </w:rPr>
        <w:t>municipales;</w:t>
      </w:r>
    </w:p>
    <w:p>
      <w:pPr>
        <w:pStyle w:val="ListParagraph"/>
        <w:numPr>
          <w:ilvl w:val="0"/>
          <w:numId w:val="4"/>
        </w:numPr>
        <w:tabs>
          <w:tab w:pos="1192" w:val="left" w:leader="none"/>
          <w:tab w:pos="1193" w:val="left" w:leader="none"/>
        </w:tabs>
        <w:spacing w:line="240" w:lineRule="auto" w:before="87" w:after="0"/>
        <w:ind w:left="1192" w:right="0" w:hanging="721"/>
        <w:jc w:val="left"/>
        <w:rPr>
          <w:sz w:val="24"/>
        </w:rPr>
      </w:pPr>
      <w:r>
        <w:rPr>
          <w:sz w:val="24"/>
        </w:rPr>
        <w:t>El funcionario encargado de la hacienda</w:t>
      </w:r>
      <w:r>
        <w:rPr>
          <w:spacing w:val="-6"/>
          <w:sz w:val="24"/>
        </w:rPr>
        <w:t> </w:t>
      </w:r>
      <w:r>
        <w:rPr>
          <w:sz w:val="24"/>
        </w:rPr>
        <w:t>municipal;</w:t>
      </w:r>
    </w:p>
    <w:p>
      <w:pPr>
        <w:pStyle w:val="ListParagraph"/>
        <w:numPr>
          <w:ilvl w:val="0"/>
          <w:numId w:val="4"/>
        </w:numPr>
        <w:tabs>
          <w:tab w:pos="1192" w:val="left" w:leader="none"/>
          <w:tab w:pos="1193" w:val="left" w:leader="none"/>
        </w:tabs>
        <w:spacing w:line="240" w:lineRule="auto" w:before="88" w:after="0"/>
        <w:ind w:left="1192" w:right="0" w:hanging="721"/>
        <w:jc w:val="left"/>
        <w:rPr>
          <w:sz w:val="24"/>
        </w:rPr>
      </w:pPr>
      <w:r>
        <w:rPr>
          <w:sz w:val="24"/>
        </w:rPr>
        <w:t>La Unidad de Transparencia municipal;</w:t>
      </w:r>
    </w:p>
    <w:p>
      <w:pPr>
        <w:pStyle w:val="ListParagraph"/>
        <w:numPr>
          <w:ilvl w:val="0"/>
          <w:numId w:val="4"/>
        </w:numPr>
        <w:tabs>
          <w:tab w:pos="1192" w:val="left" w:leader="none"/>
          <w:tab w:pos="1193" w:val="left" w:leader="none"/>
        </w:tabs>
        <w:spacing w:line="240" w:lineRule="auto" w:before="89" w:after="0"/>
        <w:ind w:left="1192" w:right="0" w:hanging="721"/>
        <w:jc w:val="left"/>
        <w:rPr>
          <w:sz w:val="24"/>
        </w:rPr>
      </w:pPr>
      <w:r>
        <w:rPr>
          <w:sz w:val="24"/>
        </w:rPr>
        <w:t>Las asociaciones de vecinos; y</w:t>
      </w:r>
    </w:p>
    <w:p>
      <w:pPr>
        <w:pStyle w:val="ListParagraph"/>
        <w:numPr>
          <w:ilvl w:val="0"/>
          <w:numId w:val="4"/>
        </w:numPr>
        <w:tabs>
          <w:tab w:pos="1192" w:val="left" w:leader="none"/>
          <w:tab w:pos="1193" w:val="left" w:leader="none"/>
        </w:tabs>
        <w:spacing w:line="312" w:lineRule="auto" w:before="88" w:after="0"/>
        <w:ind w:left="1192" w:right="114" w:hanging="720"/>
        <w:jc w:val="left"/>
        <w:rPr>
          <w:sz w:val="24"/>
        </w:rPr>
      </w:pPr>
      <w:r>
        <w:rPr>
          <w:sz w:val="24"/>
        </w:rPr>
        <w:t>Las demás autoridades municipales, de conformidad a la Ley del Gobierno y la Administración Pública Municipal del Estado de</w:t>
      </w:r>
      <w:r>
        <w:rPr>
          <w:spacing w:val="-9"/>
          <w:sz w:val="24"/>
        </w:rPr>
        <w:t> </w:t>
      </w:r>
      <w:r>
        <w:rPr>
          <w:sz w:val="24"/>
        </w:rPr>
        <w:t>Jalisco.</w:t>
      </w:r>
    </w:p>
    <w:p>
      <w:pPr>
        <w:pStyle w:val="BodyText"/>
        <w:spacing w:before="2"/>
        <w:rPr>
          <w:sz w:val="31"/>
        </w:rPr>
      </w:pPr>
    </w:p>
    <w:p>
      <w:pPr>
        <w:pStyle w:val="Heading1"/>
      </w:pPr>
      <w:r>
        <w:rPr/>
        <w:t>CAPITULO II</w:t>
      </w:r>
    </w:p>
    <w:p>
      <w:pPr>
        <w:pStyle w:val="Heading1"/>
        <w:spacing w:before="89"/>
      </w:pPr>
      <w:bookmarkStart w:name="_TOC_250017" w:id="4"/>
      <w:bookmarkEnd w:id="4"/>
      <w:r>
        <w:rPr/>
        <w:t>DE LAS FACULTADES DEL AYUNTAMIENTO</w:t>
      </w:r>
    </w:p>
    <w:p>
      <w:pPr>
        <w:pStyle w:val="BodyText"/>
        <w:spacing w:before="3"/>
        <w:rPr>
          <w:b/>
          <w:sz w:val="38"/>
        </w:rPr>
      </w:pPr>
    </w:p>
    <w:p>
      <w:pPr>
        <w:spacing w:line="312" w:lineRule="auto" w:before="0"/>
        <w:ind w:left="112" w:right="115" w:firstLine="0"/>
        <w:jc w:val="left"/>
        <w:rPr>
          <w:sz w:val="24"/>
        </w:rPr>
      </w:pPr>
      <w:r>
        <w:rPr>
          <w:b/>
          <w:sz w:val="24"/>
        </w:rPr>
        <w:t>Artículo 6º. </w:t>
      </w:r>
      <w:r>
        <w:rPr>
          <w:sz w:val="24"/>
        </w:rPr>
        <w:t>Corresponde a la </w:t>
      </w:r>
      <w:r>
        <w:rPr>
          <w:b/>
          <w:sz w:val="24"/>
        </w:rPr>
        <w:t>Instancia Municipal Encargada del Desarrollo Social</w:t>
      </w:r>
      <w:r>
        <w:rPr>
          <w:sz w:val="24"/>
        </w:rPr>
        <w:t>, además de lo establecido en otros ordenamientos:</w:t>
      </w:r>
    </w:p>
    <w:p>
      <w:pPr>
        <w:pStyle w:val="BodyText"/>
        <w:spacing w:before="5"/>
        <w:rPr>
          <w:sz w:val="31"/>
        </w:rPr>
      </w:pPr>
    </w:p>
    <w:p>
      <w:pPr>
        <w:pStyle w:val="ListParagraph"/>
        <w:numPr>
          <w:ilvl w:val="0"/>
          <w:numId w:val="5"/>
        </w:numPr>
        <w:tabs>
          <w:tab w:pos="1193" w:val="left" w:leader="none"/>
        </w:tabs>
        <w:spacing w:line="312" w:lineRule="auto" w:before="0" w:after="0"/>
        <w:ind w:left="1192" w:right="110" w:hanging="720"/>
        <w:jc w:val="both"/>
        <w:rPr>
          <w:sz w:val="24"/>
        </w:rPr>
      </w:pPr>
      <w:r>
        <w:rPr>
          <w:sz w:val="24"/>
        </w:rPr>
        <w:t>Diseñar la política integral, con perspectiva de género para promover la cultura del respeto a los derechos humanos de las mujeres basándose en el Programa</w:t>
      </w:r>
      <w:r>
        <w:rPr>
          <w:spacing w:val="-1"/>
          <w:sz w:val="24"/>
        </w:rPr>
        <w:t> </w:t>
      </w:r>
      <w:r>
        <w:rPr>
          <w:sz w:val="24"/>
        </w:rPr>
        <w:t>Estatal;</w:t>
      </w:r>
    </w:p>
    <w:p>
      <w:pPr>
        <w:spacing w:after="0" w:line="312" w:lineRule="auto"/>
        <w:jc w:val="both"/>
        <w:rPr>
          <w:sz w:val="24"/>
        </w:rPr>
        <w:sectPr>
          <w:pgSz w:w="12250" w:h="15850"/>
          <w:pgMar w:header="0" w:footer="1060" w:top="1060" w:bottom="1260" w:left="1020" w:right="1020"/>
        </w:sectPr>
      </w:pPr>
    </w:p>
    <w:p>
      <w:pPr>
        <w:pStyle w:val="ListParagraph"/>
        <w:numPr>
          <w:ilvl w:val="0"/>
          <w:numId w:val="5"/>
        </w:numPr>
        <w:tabs>
          <w:tab w:pos="1193" w:val="left" w:leader="none"/>
        </w:tabs>
        <w:spacing w:line="312" w:lineRule="auto" w:before="73" w:after="0"/>
        <w:ind w:left="1192" w:right="110" w:hanging="720"/>
        <w:jc w:val="both"/>
        <w:rPr>
          <w:sz w:val="24"/>
        </w:rPr>
      </w:pPr>
      <w:r>
        <w:rPr>
          <w:sz w:val="24"/>
        </w:rPr>
        <w:t>Formular, coordinar y dar seguimiento en el ámbito municipal, a las acciones en materia de prevención, atención y erradicación de la violencia contra las</w:t>
      </w:r>
      <w:r>
        <w:rPr>
          <w:spacing w:val="-6"/>
          <w:sz w:val="24"/>
        </w:rPr>
        <w:t> </w:t>
      </w:r>
      <w:r>
        <w:rPr>
          <w:sz w:val="24"/>
        </w:rPr>
        <w:t>mujeres</w:t>
      </w:r>
    </w:p>
    <w:p>
      <w:pPr>
        <w:pStyle w:val="ListParagraph"/>
        <w:numPr>
          <w:ilvl w:val="0"/>
          <w:numId w:val="5"/>
        </w:numPr>
        <w:tabs>
          <w:tab w:pos="1193" w:val="left" w:leader="none"/>
        </w:tabs>
        <w:spacing w:line="312" w:lineRule="auto" w:before="2" w:after="0"/>
        <w:ind w:left="1192" w:right="111" w:hanging="720"/>
        <w:jc w:val="both"/>
        <w:rPr>
          <w:sz w:val="24"/>
        </w:rPr>
      </w:pPr>
      <w:r>
        <w:rPr>
          <w:sz w:val="24"/>
        </w:rPr>
        <w:t>Coordinar y dar seguimiento a los trabajos de promoción y defensa de los derechos humanos de las mujeres, que lleven a cabo las dependencias de la administración pública</w:t>
      </w:r>
      <w:r>
        <w:rPr>
          <w:spacing w:val="-4"/>
          <w:sz w:val="24"/>
        </w:rPr>
        <w:t> </w:t>
      </w:r>
      <w:r>
        <w:rPr>
          <w:sz w:val="24"/>
        </w:rPr>
        <w:t>municipal;</w:t>
      </w:r>
    </w:p>
    <w:p>
      <w:pPr>
        <w:pStyle w:val="ListParagraph"/>
        <w:numPr>
          <w:ilvl w:val="0"/>
          <w:numId w:val="5"/>
        </w:numPr>
        <w:tabs>
          <w:tab w:pos="1193" w:val="left" w:leader="none"/>
        </w:tabs>
        <w:spacing w:line="312" w:lineRule="auto" w:before="0" w:after="0"/>
        <w:ind w:left="1192" w:right="113" w:hanging="720"/>
        <w:jc w:val="both"/>
        <w:rPr>
          <w:sz w:val="24"/>
        </w:rPr>
      </w:pPr>
      <w:r>
        <w:rPr>
          <w:sz w:val="24"/>
        </w:rPr>
        <w:t>Promover a los medios de comunicación favorezcan la erradicación de todos los tipos de violencia y se fortalezca </w:t>
      </w:r>
      <w:r>
        <w:rPr>
          <w:spacing w:val="2"/>
          <w:sz w:val="24"/>
        </w:rPr>
        <w:t>la </w:t>
      </w:r>
      <w:r>
        <w:rPr>
          <w:sz w:val="24"/>
        </w:rPr>
        <w:t>dignidad de las mujeres;</w:t>
      </w:r>
      <w:r>
        <w:rPr>
          <w:spacing w:val="-20"/>
          <w:sz w:val="24"/>
        </w:rPr>
        <w:t> </w:t>
      </w:r>
      <w:r>
        <w:rPr>
          <w:sz w:val="24"/>
        </w:rPr>
        <w:t>y</w:t>
      </w:r>
    </w:p>
    <w:p>
      <w:pPr>
        <w:pStyle w:val="ListParagraph"/>
        <w:numPr>
          <w:ilvl w:val="0"/>
          <w:numId w:val="5"/>
        </w:numPr>
        <w:tabs>
          <w:tab w:pos="1193" w:val="left" w:leader="none"/>
        </w:tabs>
        <w:spacing w:line="312" w:lineRule="auto" w:before="1" w:after="0"/>
        <w:ind w:left="1192" w:right="111" w:hanging="720"/>
        <w:jc w:val="both"/>
        <w:rPr>
          <w:sz w:val="24"/>
        </w:rPr>
      </w:pPr>
      <w:r>
        <w:rPr>
          <w:sz w:val="24"/>
        </w:rPr>
        <w:t>Fomentar la protección integral de los derechos de las mujeres con perspectiva de género, para garantizarles una vida libre de</w:t>
      </w:r>
      <w:r>
        <w:rPr>
          <w:spacing w:val="-14"/>
          <w:sz w:val="24"/>
        </w:rPr>
        <w:t> </w:t>
      </w:r>
      <w:r>
        <w:rPr>
          <w:sz w:val="24"/>
        </w:rPr>
        <w:t>violencia;</w:t>
      </w:r>
    </w:p>
    <w:p>
      <w:pPr>
        <w:pStyle w:val="ListParagraph"/>
        <w:numPr>
          <w:ilvl w:val="0"/>
          <w:numId w:val="5"/>
        </w:numPr>
        <w:tabs>
          <w:tab w:pos="1193" w:val="left" w:leader="none"/>
        </w:tabs>
        <w:spacing w:line="312" w:lineRule="auto" w:before="0" w:after="0"/>
        <w:ind w:left="1192" w:right="111" w:hanging="720"/>
        <w:jc w:val="both"/>
        <w:rPr>
          <w:sz w:val="24"/>
        </w:rPr>
      </w:pPr>
      <w:r>
        <w:rPr>
          <w:sz w:val="24"/>
        </w:rPr>
        <w:t>Realizar acciones tendientes a mejorar las condiciones de las mujeres que se encuentren en situación de exclusión y de pobreza;</w:t>
      </w:r>
      <w:r>
        <w:rPr>
          <w:spacing w:val="-8"/>
          <w:sz w:val="24"/>
        </w:rPr>
        <w:t> </w:t>
      </w:r>
      <w:r>
        <w:rPr>
          <w:sz w:val="24"/>
        </w:rPr>
        <w:t>y</w:t>
      </w:r>
    </w:p>
    <w:p>
      <w:pPr>
        <w:pStyle w:val="ListParagraph"/>
        <w:numPr>
          <w:ilvl w:val="0"/>
          <w:numId w:val="5"/>
        </w:numPr>
        <w:tabs>
          <w:tab w:pos="1193" w:val="left" w:leader="none"/>
        </w:tabs>
        <w:spacing w:line="240" w:lineRule="auto" w:before="0" w:after="0"/>
        <w:ind w:left="1192" w:right="0" w:hanging="721"/>
        <w:jc w:val="both"/>
        <w:rPr>
          <w:sz w:val="24"/>
        </w:rPr>
      </w:pPr>
      <w:r>
        <w:rPr>
          <w:sz w:val="24"/>
        </w:rPr>
        <w:t>Las demás previstas para el cumplimiento del presente</w:t>
      </w:r>
      <w:r>
        <w:rPr>
          <w:spacing w:val="-2"/>
          <w:sz w:val="24"/>
        </w:rPr>
        <w:t> </w:t>
      </w:r>
      <w:r>
        <w:rPr>
          <w:sz w:val="24"/>
        </w:rPr>
        <w:t>reglamento</w:t>
      </w:r>
    </w:p>
    <w:p>
      <w:pPr>
        <w:pStyle w:val="BodyText"/>
        <w:rPr>
          <w:sz w:val="28"/>
        </w:rPr>
      </w:pPr>
    </w:p>
    <w:p>
      <w:pPr>
        <w:pStyle w:val="BodyText"/>
        <w:spacing w:before="5"/>
        <w:rPr>
          <w:sz w:val="41"/>
        </w:rPr>
      </w:pPr>
    </w:p>
    <w:p>
      <w:pPr>
        <w:spacing w:line="312" w:lineRule="auto" w:before="0"/>
        <w:ind w:left="112" w:right="0" w:firstLine="0"/>
        <w:jc w:val="left"/>
        <w:rPr>
          <w:sz w:val="24"/>
        </w:rPr>
      </w:pPr>
      <w:r>
        <w:rPr>
          <w:b/>
          <w:sz w:val="24"/>
        </w:rPr>
        <w:t>Artículo 7º. </w:t>
      </w:r>
      <w:r>
        <w:rPr>
          <w:sz w:val="24"/>
        </w:rPr>
        <w:t>Corresponde a la instancia municipal encargada de la </w:t>
      </w:r>
      <w:r>
        <w:rPr>
          <w:b/>
          <w:sz w:val="24"/>
        </w:rPr>
        <w:t>Seguridad Pública Municipal</w:t>
      </w:r>
      <w:r>
        <w:rPr>
          <w:sz w:val="24"/>
        </w:rPr>
        <w:t>, además de lo establecido en otros ordenamientos:</w:t>
      </w:r>
    </w:p>
    <w:p>
      <w:pPr>
        <w:pStyle w:val="BodyText"/>
        <w:spacing w:before="4"/>
        <w:rPr>
          <w:sz w:val="31"/>
        </w:rPr>
      </w:pPr>
    </w:p>
    <w:p>
      <w:pPr>
        <w:pStyle w:val="ListParagraph"/>
        <w:numPr>
          <w:ilvl w:val="0"/>
          <w:numId w:val="6"/>
        </w:numPr>
        <w:tabs>
          <w:tab w:pos="1193" w:val="left" w:leader="none"/>
        </w:tabs>
        <w:spacing w:line="312" w:lineRule="auto" w:before="1" w:after="0"/>
        <w:ind w:left="1192" w:right="112" w:hanging="720"/>
        <w:jc w:val="both"/>
        <w:rPr>
          <w:sz w:val="24"/>
        </w:rPr>
      </w:pPr>
      <w:r>
        <w:rPr>
          <w:sz w:val="24"/>
        </w:rPr>
        <w:t>Diseñar e implementar una política criminal con perspectiva de género orientada a la prevención, atención y erradicación de los delitos violentos cometidos contra las</w:t>
      </w:r>
      <w:r>
        <w:rPr>
          <w:spacing w:val="-4"/>
          <w:sz w:val="24"/>
        </w:rPr>
        <w:t> </w:t>
      </w:r>
      <w:r>
        <w:rPr>
          <w:sz w:val="24"/>
        </w:rPr>
        <w:t>mujeres;</w:t>
      </w:r>
    </w:p>
    <w:p>
      <w:pPr>
        <w:pStyle w:val="ListParagraph"/>
        <w:numPr>
          <w:ilvl w:val="0"/>
          <w:numId w:val="6"/>
        </w:numPr>
        <w:tabs>
          <w:tab w:pos="1193" w:val="left" w:leader="none"/>
        </w:tabs>
        <w:spacing w:line="312" w:lineRule="auto" w:before="0" w:after="0"/>
        <w:ind w:left="1192" w:right="113" w:hanging="720"/>
        <w:jc w:val="both"/>
        <w:rPr>
          <w:sz w:val="24"/>
        </w:rPr>
      </w:pPr>
      <w:r>
        <w:rPr>
          <w:sz w:val="24"/>
        </w:rPr>
        <w:t>Capacitar al personal de las diferentes instancias policiales para atender los casos de violencia contra las mujeres y brindar las medidas de</w:t>
      </w:r>
      <w:r>
        <w:rPr>
          <w:spacing w:val="-24"/>
          <w:sz w:val="24"/>
        </w:rPr>
        <w:t> </w:t>
      </w:r>
      <w:r>
        <w:rPr>
          <w:sz w:val="24"/>
        </w:rPr>
        <w:t>protección;</w:t>
      </w:r>
    </w:p>
    <w:p>
      <w:pPr>
        <w:pStyle w:val="ListParagraph"/>
        <w:numPr>
          <w:ilvl w:val="0"/>
          <w:numId w:val="6"/>
        </w:numPr>
        <w:tabs>
          <w:tab w:pos="1193" w:val="left" w:leader="none"/>
        </w:tabs>
        <w:spacing w:line="312" w:lineRule="auto" w:before="0" w:after="0"/>
        <w:ind w:left="1192" w:right="111" w:hanging="720"/>
        <w:jc w:val="both"/>
        <w:rPr>
          <w:sz w:val="24"/>
        </w:rPr>
      </w:pPr>
      <w:r>
        <w:rPr>
          <w:sz w:val="24"/>
        </w:rPr>
        <w:t>Generar mecanismos de prevención, atención y derivación de las mujeres víctimas de violencia a las Dependencias competentes para conocer del caso;</w:t>
      </w:r>
    </w:p>
    <w:p>
      <w:pPr>
        <w:pStyle w:val="ListParagraph"/>
        <w:numPr>
          <w:ilvl w:val="0"/>
          <w:numId w:val="6"/>
        </w:numPr>
        <w:tabs>
          <w:tab w:pos="1193" w:val="left" w:leader="none"/>
        </w:tabs>
        <w:spacing w:line="312" w:lineRule="auto" w:before="0" w:after="0"/>
        <w:ind w:left="1192" w:right="116" w:hanging="720"/>
        <w:jc w:val="both"/>
        <w:rPr>
          <w:sz w:val="24"/>
        </w:rPr>
      </w:pPr>
      <w:r>
        <w:rPr>
          <w:sz w:val="24"/>
        </w:rPr>
        <w:t>Diseñar las políticas integrales para la prevención y atención de delitos violentos cometidos contra las mujeres, en los ámbitos público y privado;</w:t>
      </w:r>
      <w:r>
        <w:rPr>
          <w:spacing w:val="-23"/>
          <w:sz w:val="24"/>
        </w:rPr>
        <w:t> </w:t>
      </w:r>
      <w:r>
        <w:rPr>
          <w:sz w:val="24"/>
        </w:rPr>
        <w:t>y</w:t>
      </w:r>
    </w:p>
    <w:p>
      <w:pPr>
        <w:pStyle w:val="ListParagraph"/>
        <w:numPr>
          <w:ilvl w:val="0"/>
          <w:numId w:val="6"/>
        </w:numPr>
        <w:tabs>
          <w:tab w:pos="1193" w:val="left" w:leader="none"/>
        </w:tabs>
        <w:spacing w:line="312" w:lineRule="auto" w:before="0" w:after="0"/>
        <w:ind w:left="1192" w:right="115" w:hanging="720"/>
        <w:jc w:val="both"/>
        <w:rPr>
          <w:sz w:val="24"/>
        </w:rPr>
      </w:pPr>
      <w:r>
        <w:rPr>
          <w:sz w:val="24"/>
        </w:rPr>
        <w:t>Formular acciones y programas orientados a fomenta la cultura de respeto a los derechos humanos de las</w:t>
      </w:r>
      <w:r>
        <w:rPr>
          <w:spacing w:val="-5"/>
          <w:sz w:val="24"/>
        </w:rPr>
        <w:t> </w:t>
      </w:r>
      <w:r>
        <w:rPr>
          <w:sz w:val="24"/>
        </w:rPr>
        <w:t>mujeres.</w:t>
      </w:r>
    </w:p>
    <w:p>
      <w:pPr>
        <w:pStyle w:val="BodyText"/>
        <w:spacing w:before="2"/>
        <w:rPr>
          <w:sz w:val="31"/>
        </w:rPr>
      </w:pPr>
    </w:p>
    <w:p>
      <w:pPr>
        <w:pStyle w:val="BodyText"/>
        <w:spacing w:line="312" w:lineRule="auto"/>
        <w:ind w:left="112"/>
      </w:pPr>
      <w:r>
        <w:rPr>
          <w:b/>
        </w:rPr>
        <w:t>Artículo 8º. </w:t>
      </w:r>
      <w:r>
        <w:rPr/>
        <w:t>Corresponde a la Instancia Municipal encargada de la </w:t>
      </w:r>
      <w:r>
        <w:rPr>
          <w:b/>
        </w:rPr>
        <w:t>Salud, </w:t>
      </w:r>
      <w:r>
        <w:rPr/>
        <w:t>además de lo establecido en otros ordenamientos:</w:t>
      </w:r>
    </w:p>
    <w:p>
      <w:pPr>
        <w:spacing w:after="0" w:line="312" w:lineRule="auto"/>
        <w:sectPr>
          <w:pgSz w:w="12250" w:h="15850"/>
          <w:pgMar w:header="0" w:footer="1060" w:top="1060" w:bottom="1260" w:left="1020" w:right="1020"/>
        </w:sectPr>
      </w:pPr>
    </w:p>
    <w:p>
      <w:pPr>
        <w:pStyle w:val="ListParagraph"/>
        <w:numPr>
          <w:ilvl w:val="0"/>
          <w:numId w:val="7"/>
        </w:numPr>
        <w:tabs>
          <w:tab w:pos="1193" w:val="left" w:leader="none"/>
        </w:tabs>
        <w:spacing w:line="312" w:lineRule="auto" w:before="73" w:after="0"/>
        <w:ind w:left="1192" w:right="111" w:hanging="720"/>
        <w:jc w:val="both"/>
        <w:rPr>
          <w:sz w:val="24"/>
        </w:rPr>
      </w:pPr>
      <w:r>
        <w:rPr>
          <w:sz w:val="24"/>
        </w:rPr>
        <w:t>Diseñar la aplicación de las políticas, conforme al Programa Estatal, encaminadas a la prevención, atención y erradicación de la</w:t>
      </w:r>
      <w:r>
        <w:rPr>
          <w:spacing w:val="-15"/>
          <w:sz w:val="24"/>
        </w:rPr>
        <w:t> </w:t>
      </w:r>
      <w:r>
        <w:rPr>
          <w:sz w:val="24"/>
        </w:rPr>
        <w:t>violencia;</w:t>
      </w:r>
    </w:p>
    <w:p>
      <w:pPr>
        <w:pStyle w:val="ListParagraph"/>
        <w:numPr>
          <w:ilvl w:val="0"/>
          <w:numId w:val="7"/>
        </w:numPr>
        <w:tabs>
          <w:tab w:pos="1193" w:val="left" w:leader="none"/>
        </w:tabs>
        <w:spacing w:line="312" w:lineRule="auto" w:before="1" w:after="0"/>
        <w:ind w:left="1192" w:right="112" w:hanging="720"/>
        <w:jc w:val="both"/>
        <w:rPr>
          <w:sz w:val="24"/>
        </w:rPr>
      </w:pPr>
      <w:r>
        <w:rPr>
          <w:sz w:val="24"/>
        </w:rPr>
        <w:t>Brindar por medio de las instituciones del sector salud de manera integral y gratuita atención médica, psiquiátrica y psicológica con perspectiva de género a las</w:t>
      </w:r>
      <w:r>
        <w:rPr>
          <w:spacing w:val="-4"/>
          <w:sz w:val="24"/>
        </w:rPr>
        <w:t> </w:t>
      </w:r>
      <w:r>
        <w:rPr>
          <w:sz w:val="24"/>
        </w:rPr>
        <w:t>víctimas;</w:t>
      </w:r>
    </w:p>
    <w:p>
      <w:pPr>
        <w:pStyle w:val="ListParagraph"/>
        <w:numPr>
          <w:ilvl w:val="0"/>
          <w:numId w:val="7"/>
        </w:numPr>
        <w:tabs>
          <w:tab w:pos="1193" w:val="left" w:leader="none"/>
        </w:tabs>
        <w:spacing w:line="312" w:lineRule="auto" w:before="0" w:after="0"/>
        <w:ind w:left="1192" w:right="110" w:hanging="720"/>
        <w:jc w:val="both"/>
        <w:rPr>
          <w:sz w:val="24"/>
        </w:rPr>
      </w:pPr>
      <w:r>
        <w:rPr>
          <w:sz w:val="24"/>
        </w:rPr>
        <w:t>Diseñar programas permanentes de capacitación para el personal del sector salud, respecto de la violencia contra las mujeres que garanticen la prevención, atención y erradicación de la</w:t>
      </w:r>
      <w:r>
        <w:rPr>
          <w:spacing w:val="-6"/>
          <w:sz w:val="24"/>
        </w:rPr>
        <w:t> </w:t>
      </w:r>
      <w:r>
        <w:rPr>
          <w:sz w:val="24"/>
        </w:rPr>
        <w:t>violencia;</w:t>
      </w:r>
    </w:p>
    <w:p>
      <w:pPr>
        <w:pStyle w:val="ListParagraph"/>
        <w:numPr>
          <w:ilvl w:val="0"/>
          <w:numId w:val="7"/>
        </w:numPr>
        <w:tabs>
          <w:tab w:pos="1193" w:val="left" w:leader="none"/>
        </w:tabs>
        <w:spacing w:line="312" w:lineRule="auto" w:before="2" w:after="0"/>
        <w:ind w:left="1192" w:right="111" w:hanging="720"/>
        <w:jc w:val="both"/>
        <w:rPr>
          <w:sz w:val="24"/>
        </w:rPr>
      </w:pPr>
      <w:r>
        <w:rPr>
          <w:sz w:val="24"/>
        </w:rPr>
        <w:t>Valorar, en los casos de violencia, la situación de riesgo y derivar a las víctimas, a las dependencia que brinden el servicio necesario o en caso de peligro inminente a los centros de refugio</w:t>
      </w:r>
      <w:r>
        <w:rPr>
          <w:spacing w:val="-1"/>
          <w:sz w:val="24"/>
        </w:rPr>
        <w:t> </w:t>
      </w:r>
      <w:r>
        <w:rPr>
          <w:sz w:val="24"/>
        </w:rPr>
        <w:t>temporal;</w:t>
      </w:r>
    </w:p>
    <w:p>
      <w:pPr>
        <w:pStyle w:val="ListParagraph"/>
        <w:numPr>
          <w:ilvl w:val="0"/>
          <w:numId w:val="7"/>
        </w:numPr>
        <w:tabs>
          <w:tab w:pos="1193" w:val="left" w:leader="none"/>
        </w:tabs>
        <w:spacing w:line="312" w:lineRule="auto" w:before="0" w:after="0"/>
        <w:ind w:left="1192" w:right="110" w:hanging="720"/>
        <w:jc w:val="both"/>
        <w:rPr>
          <w:sz w:val="24"/>
        </w:rPr>
      </w:pPr>
      <w:r>
        <w:rPr>
          <w:sz w:val="24"/>
        </w:rPr>
        <w:t>Promover la investigación sobre el impacto de la violencia en la salud de las</w:t>
      </w:r>
      <w:r>
        <w:rPr>
          <w:spacing w:val="-2"/>
          <w:sz w:val="24"/>
        </w:rPr>
        <w:t> </w:t>
      </w:r>
      <w:r>
        <w:rPr>
          <w:sz w:val="24"/>
        </w:rPr>
        <w:t>mujeres;</w:t>
      </w:r>
    </w:p>
    <w:p>
      <w:pPr>
        <w:pStyle w:val="ListParagraph"/>
        <w:numPr>
          <w:ilvl w:val="0"/>
          <w:numId w:val="7"/>
        </w:numPr>
        <w:tabs>
          <w:tab w:pos="1193" w:val="left" w:leader="none"/>
        </w:tabs>
        <w:spacing w:line="312" w:lineRule="auto" w:before="0" w:after="0"/>
        <w:ind w:left="1192" w:right="111" w:hanging="720"/>
        <w:jc w:val="both"/>
        <w:rPr>
          <w:sz w:val="24"/>
        </w:rPr>
      </w:pPr>
      <w:r>
        <w:rPr>
          <w:sz w:val="24"/>
        </w:rPr>
        <w:t>Diseñar e implementar programas en materia de prevención, atención y erradicación de la violencia, así como de salud integral para mujeres en condiciones de vulnerabilidad y víctimas de</w:t>
      </w:r>
      <w:r>
        <w:rPr>
          <w:spacing w:val="-1"/>
          <w:sz w:val="24"/>
        </w:rPr>
        <w:t> </w:t>
      </w:r>
      <w:r>
        <w:rPr>
          <w:sz w:val="24"/>
        </w:rPr>
        <w:t>violencia;</w:t>
      </w:r>
    </w:p>
    <w:p>
      <w:pPr>
        <w:pStyle w:val="ListParagraph"/>
        <w:numPr>
          <w:ilvl w:val="0"/>
          <w:numId w:val="7"/>
        </w:numPr>
        <w:tabs>
          <w:tab w:pos="1193" w:val="left" w:leader="none"/>
        </w:tabs>
        <w:spacing w:line="312" w:lineRule="auto" w:before="0" w:after="0"/>
        <w:ind w:left="1192" w:right="114" w:hanging="720"/>
        <w:jc w:val="both"/>
        <w:rPr>
          <w:sz w:val="24"/>
        </w:rPr>
      </w:pPr>
      <w:r>
        <w:rPr>
          <w:sz w:val="24"/>
        </w:rPr>
        <w:t>Generar y difundir información sobre prevención, atención, sanción y erradicación de la violencia en contra de las</w:t>
      </w:r>
      <w:r>
        <w:rPr>
          <w:spacing w:val="-8"/>
          <w:sz w:val="24"/>
        </w:rPr>
        <w:t> </w:t>
      </w:r>
      <w:r>
        <w:rPr>
          <w:sz w:val="24"/>
        </w:rPr>
        <w:t>mujeres;</w:t>
      </w:r>
    </w:p>
    <w:p>
      <w:pPr>
        <w:pStyle w:val="ListParagraph"/>
        <w:numPr>
          <w:ilvl w:val="0"/>
          <w:numId w:val="7"/>
        </w:numPr>
        <w:tabs>
          <w:tab w:pos="1193" w:val="left" w:leader="none"/>
        </w:tabs>
        <w:spacing w:line="312" w:lineRule="auto" w:before="0" w:after="0"/>
        <w:ind w:left="1192" w:right="116" w:hanging="720"/>
        <w:jc w:val="both"/>
        <w:rPr>
          <w:sz w:val="24"/>
        </w:rPr>
      </w:pPr>
      <w:r>
        <w:rPr>
          <w:sz w:val="24"/>
        </w:rPr>
        <w:t>Apoyar a las autoridades encargadas de efectuar investigaciones en materia de violencia contra las mujeres, proporcionando la siguiente información:</w:t>
      </w:r>
    </w:p>
    <w:p>
      <w:pPr>
        <w:pStyle w:val="BodyText"/>
        <w:spacing w:before="1"/>
        <w:rPr>
          <w:sz w:val="31"/>
        </w:rPr>
      </w:pPr>
    </w:p>
    <w:p>
      <w:pPr>
        <w:pStyle w:val="ListParagraph"/>
        <w:numPr>
          <w:ilvl w:val="1"/>
          <w:numId w:val="7"/>
        </w:numPr>
        <w:tabs>
          <w:tab w:pos="2236" w:val="left" w:leader="none"/>
          <w:tab w:pos="2237" w:val="left" w:leader="none"/>
        </w:tabs>
        <w:spacing w:line="312" w:lineRule="auto" w:before="0" w:after="0"/>
        <w:ind w:left="847" w:right="112" w:firstLine="585"/>
        <w:jc w:val="left"/>
        <w:rPr>
          <w:sz w:val="24"/>
        </w:rPr>
      </w:pPr>
      <w:r>
        <w:rPr>
          <w:sz w:val="24"/>
        </w:rPr>
        <w:t>La relativa al número de víctimas que se atiendan en los centros y servicios hospitalarios;</w:t>
      </w:r>
    </w:p>
    <w:p>
      <w:pPr>
        <w:pStyle w:val="ListParagraph"/>
        <w:numPr>
          <w:ilvl w:val="1"/>
          <w:numId w:val="7"/>
        </w:numPr>
        <w:tabs>
          <w:tab w:pos="2236" w:val="left" w:leader="none"/>
          <w:tab w:pos="2237" w:val="left" w:leader="none"/>
        </w:tabs>
        <w:spacing w:line="240" w:lineRule="auto" w:before="1" w:after="0"/>
        <w:ind w:left="2236" w:right="0" w:hanging="805"/>
        <w:jc w:val="left"/>
        <w:rPr>
          <w:sz w:val="24"/>
        </w:rPr>
      </w:pPr>
      <w:r>
        <w:rPr>
          <w:sz w:val="24"/>
        </w:rPr>
        <w:t>El tipo de violencia por la cual se atendió a la</w:t>
      </w:r>
      <w:r>
        <w:rPr>
          <w:spacing w:val="-8"/>
          <w:sz w:val="24"/>
        </w:rPr>
        <w:t> </w:t>
      </w:r>
      <w:r>
        <w:rPr>
          <w:sz w:val="24"/>
        </w:rPr>
        <w:t>víctima;</w:t>
      </w:r>
    </w:p>
    <w:p>
      <w:pPr>
        <w:pStyle w:val="ListParagraph"/>
        <w:numPr>
          <w:ilvl w:val="1"/>
          <w:numId w:val="7"/>
        </w:numPr>
        <w:tabs>
          <w:tab w:pos="2236" w:val="left" w:leader="none"/>
          <w:tab w:pos="2237" w:val="left" w:leader="none"/>
        </w:tabs>
        <w:spacing w:line="240" w:lineRule="auto" w:before="87" w:after="0"/>
        <w:ind w:left="2236" w:right="0" w:hanging="805"/>
        <w:jc w:val="left"/>
        <w:rPr>
          <w:sz w:val="24"/>
        </w:rPr>
      </w:pPr>
      <w:r>
        <w:rPr>
          <w:sz w:val="24"/>
        </w:rPr>
        <w:t>Los efectos causados por la violencia en contra de las</w:t>
      </w:r>
      <w:r>
        <w:rPr>
          <w:spacing w:val="-16"/>
          <w:sz w:val="24"/>
        </w:rPr>
        <w:t> </w:t>
      </w:r>
      <w:r>
        <w:rPr>
          <w:sz w:val="24"/>
        </w:rPr>
        <w:t>mujeres;</w:t>
      </w:r>
    </w:p>
    <w:p>
      <w:pPr>
        <w:pStyle w:val="ListParagraph"/>
        <w:numPr>
          <w:ilvl w:val="1"/>
          <w:numId w:val="7"/>
        </w:numPr>
        <w:tabs>
          <w:tab w:pos="2236" w:val="left" w:leader="none"/>
          <w:tab w:pos="2237" w:val="left" w:leader="none"/>
        </w:tabs>
        <w:spacing w:line="240" w:lineRule="auto" w:before="90" w:after="0"/>
        <w:ind w:left="2236" w:right="0" w:hanging="805"/>
        <w:jc w:val="left"/>
        <w:rPr>
          <w:sz w:val="24"/>
        </w:rPr>
      </w:pPr>
      <w:r>
        <w:rPr>
          <w:sz w:val="24"/>
        </w:rPr>
        <w:t>Los recursos erogados en la atención de las víctimas,</w:t>
      </w:r>
      <w:r>
        <w:rPr>
          <w:spacing w:val="-7"/>
          <w:sz w:val="24"/>
        </w:rPr>
        <w:t> </w:t>
      </w:r>
      <w:r>
        <w:rPr>
          <w:sz w:val="24"/>
        </w:rPr>
        <w:t>y</w:t>
      </w:r>
    </w:p>
    <w:p>
      <w:pPr>
        <w:pStyle w:val="BodyText"/>
        <w:spacing w:before="2"/>
        <w:rPr>
          <w:sz w:val="38"/>
        </w:rPr>
      </w:pPr>
    </w:p>
    <w:p>
      <w:pPr>
        <w:pStyle w:val="ListParagraph"/>
        <w:numPr>
          <w:ilvl w:val="0"/>
          <w:numId w:val="7"/>
        </w:numPr>
        <w:tabs>
          <w:tab w:pos="1192" w:val="left" w:leader="none"/>
          <w:tab w:pos="1193" w:val="left" w:leader="none"/>
        </w:tabs>
        <w:spacing w:line="240" w:lineRule="auto" w:before="1" w:after="0"/>
        <w:ind w:left="1192" w:right="0" w:hanging="721"/>
        <w:jc w:val="left"/>
        <w:rPr>
          <w:sz w:val="24"/>
        </w:rPr>
      </w:pPr>
      <w:r>
        <w:rPr>
          <w:sz w:val="24"/>
        </w:rPr>
        <w:t>Las demás previstas para el cumplimiento del presente</w:t>
      </w:r>
      <w:r>
        <w:rPr>
          <w:spacing w:val="-2"/>
          <w:sz w:val="24"/>
        </w:rPr>
        <w:t> </w:t>
      </w:r>
      <w:r>
        <w:rPr>
          <w:sz w:val="24"/>
        </w:rPr>
        <w:t>reglamento.</w:t>
      </w:r>
    </w:p>
    <w:p>
      <w:pPr>
        <w:pStyle w:val="BodyText"/>
        <w:spacing w:before="5"/>
        <w:rPr>
          <w:sz w:val="38"/>
        </w:rPr>
      </w:pPr>
    </w:p>
    <w:p>
      <w:pPr>
        <w:spacing w:line="312" w:lineRule="auto" w:before="0"/>
        <w:ind w:left="112" w:right="115" w:firstLine="0"/>
        <w:jc w:val="left"/>
        <w:rPr>
          <w:sz w:val="24"/>
        </w:rPr>
      </w:pPr>
      <w:r>
        <w:rPr>
          <w:b/>
          <w:sz w:val="24"/>
        </w:rPr>
        <w:t>Artículo 9º. </w:t>
      </w:r>
      <w:r>
        <w:rPr>
          <w:sz w:val="24"/>
        </w:rPr>
        <w:t>La </w:t>
      </w:r>
      <w:r>
        <w:rPr>
          <w:b/>
          <w:sz w:val="24"/>
        </w:rPr>
        <w:t>instancia municipal de la mujer</w:t>
      </w:r>
      <w:r>
        <w:rPr>
          <w:sz w:val="24"/>
        </w:rPr>
        <w:t>, además de lo establecido en otros ordenamientos se encargará de:</w:t>
      </w:r>
    </w:p>
    <w:p>
      <w:pPr>
        <w:spacing w:after="0" w:line="312" w:lineRule="auto"/>
        <w:jc w:val="left"/>
        <w:rPr>
          <w:sz w:val="24"/>
        </w:rPr>
        <w:sectPr>
          <w:pgSz w:w="12250" w:h="15850"/>
          <w:pgMar w:header="0" w:footer="1060" w:top="1060" w:bottom="1260" w:left="1020" w:right="1020"/>
        </w:sectPr>
      </w:pPr>
    </w:p>
    <w:p>
      <w:pPr>
        <w:pStyle w:val="ListParagraph"/>
        <w:numPr>
          <w:ilvl w:val="0"/>
          <w:numId w:val="8"/>
        </w:numPr>
        <w:tabs>
          <w:tab w:pos="1193" w:val="left" w:leader="none"/>
        </w:tabs>
        <w:spacing w:line="312" w:lineRule="auto" w:before="73" w:after="0"/>
        <w:ind w:left="1192" w:right="110" w:hanging="720"/>
        <w:jc w:val="both"/>
        <w:rPr>
          <w:sz w:val="24"/>
        </w:rPr>
      </w:pPr>
      <w:r>
        <w:rPr>
          <w:sz w:val="24"/>
        </w:rPr>
        <w:t>Coadyuvar con la Federación y el Estado, en la consolidación del Sistema y seguir las recomendaciones del Consejo Estatal, respecto de  la observación y aplicación de la Ley Estatal y su</w:t>
      </w:r>
      <w:r>
        <w:rPr>
          <w:spacing w:val="-9"/>
          <w:sz w:val="24"/>
        </w:rPr>
        <w:t> </w:t>
      </w:r>
      <w:r>
        <w:rPr>
          <w:sz w:val="24"/>
        </w:rPr>
        <w:t>reglamento;</w:t>
      </w:r>
    </w:p>
    <w:p>
      <w:pPr>
        <w:pStyle w:val="ListParagraph"/>
        <w:numPr>
          <w:ilvl w:val="0"/>
          <w:numId w:val="8"/>
        </w:numPr>
        <w:tabs>
          <w:tab w:pos="1193" w:val="left" w:leader="none"/>
        </w:tabs>
        <w:spacing w:line="240" w:lineRule="auto" w:before="2" w:after="0"/>
        <w:ind w:left="1192" w:right="0" w:hanging="721"/>
        <w:jc w:val="both"/>
        <w:rPr>
          <w:sz w:val="24"/>
        </w:rPr>
      </w:pPr>
      <w:r>
        <w:rPr>
          <w:sz w:val="24"/>
        </w:rPr>
        <w:t>Ejecutar y dar seguimiento a las acciones del Programa</w:t>
      </w:r>
      <w:r>
        <w:rPr>
          <w:spacing w:val="-4"/>
          <w:sz w:val="24"/>
        </w:rPr>
        <w:t> </w:t>
      </w:r>
      <w:r>
        <w:rPr>
          <w:sz w:val="24"/>
        </w:rPr>
        <w:t>Estatal;</w:t>
      </w:r>
    </w:p>
    <w:p>
      <w:pPr>
        <w:pStyle w:val="ListParagraph"/>
        <w:numPr>
          <w:ilvl w:val="0"/>
          <w:numId w:val="8"/>
        </w:numPr>
        <w:tabs>
          <w:tab w:pos="1193" w:val="left" w:leader="none"/>
        </w:tabs>
        <w:spacing w:line="312" w:lineRule="auto" w:before="88" w:after="0"/>
        <w:ind w:left="1192" w:right="109" w:hanging="720"/>
        <w:jc w:val="both"/>
        <w:rPr>
          <w:sz w:val="24"/>
        </w:rPr>
      </w:pPr>
      <w:r>
        <w:rPr>
          <w:sz w:val="24"/>
        </w:rPr>
        <w:t>Implementar la política municipal en materia de igualdad entre mujeres y hombres, en concordancia con las políticas nacionales y locales correspondientes;</w:t>
      </w:r>
    </w:p>
    <w:p>
      <w:pPr>
        <w:pStyle w:val="ListParagraph"/>
        <w:numPr>
          <w:ilvl w:val="0"/>
          <w:numId w:val="8"/>
        </w:numPr>
        <w:tabs>
          <w:tab w:pos="1193" w:val="left" w:leader="none"/>
        </w:tabs>
        <w:spacing w:line="294" w:lineRule="exact" w:before="0" w:after="0"/>
        <w:ind w:left="1192" w:right="0" w:hanging="721"/>
        <w:jc w:val="both"/>
        <w:rPr>
          <w:sz w:val="24"/>
        </w:rPr>
      </w:pPr>
      <w:r>
        <w:rPr>
          <w:sz w:val="24"/>
        </w:rPr>
        <w:t>Colaborar en la integración y actualización del Banco Estatal de</w:t>
      </w:r>
      <w:r>
        <w:rPr>
          <w:spacing w:val="-14"/>
          <w:sz w:val="24"/>
        </w:rPr>
        <w:t> </w:t>
      </w:r>
      <w:r>
        <w:rPr>
          <w:sz w:val="24"/>
        </w:rPr>
        <w:t>Datos;</w:t>
      </w:r>
    </w:p>
    <w:p>
      <w:pPr>
        <w:pStyle w:val="ListParagraph"/>
        <w:numPr>
          <w:ilvl w:val="0"/>
          <w:numId w:val="8"/>
        </w:numPr>
        <w:tabs>
          <w:tab w:pos="1193" w:val="left" w:leader="none"/>
        </w:tabs>
        <w:spacing w:line="312" w:lineRule="auto" w:before="90" w:after="0"/>
        <w:ind w:left="1192" w:right="111" w:hanging="720"/>
        <w:jc w:val="both"/>
        <w:rPr>
          <w:sz w:val="24"/>
        </w:rPr>
      </w:pPr>
      <w:r>
        <w:rPr>
          <w:sz w:val="24"/>
        </w:rPr>
        <w:t>Coadyuvar con el Instituto de Investigaciones promovidas por la Administración Pública Municipal sobre causas, características, tipos y consecuencias de la violencia contra las</w:t>
      </w:r>
      <w:r>
        <w:rPr>
          <w:spacing w:val="-12"/>
          <w:sz w:val="24"/>
        </w:rPr>
        <w:t> </w:t>
      </w:r>
      <w:r>
        <w:rPr>
          <w:sz w:val="24"/>
        </w:rPr>
        <w:t>mujeres;</w:t>
      </w:r>
    </w:p>
    <w:p>
      <w:pPr>
        <w:pStyle w:val="ListParagraph"/>
        <w:numPr>
          <w:ilvl w:val="0"/>
          <w:numId w:val="8"/>
        </w:numPr>
        <w:tabs>
          <w:tab w:pos="1193" w:val="left" w:leader="none"/>
        </w:tabs>
        <w:spacing w:line="312" w:lineRule="auto" w:before="0" w:after="0"/>
        <w:ind w:left="1192" w:right="112" w:hanging="720"/>
        <w:jc w:val="both"/>
        <w:rPr>
          <w:sz w:val="24"/>
        </w:rPr>
      </w:pPr>
      <w:r>
        <w:rPr>
          <w:sz w:val="24"/>
        </w:rPr>
        <w:t>Diseñar, instrumentar y aplicar los programas y modelos de prevención, atención y erradicación de la violencia contra las mujeres de conformidad con los principios de la Ley Estatal y su</w:t>
      </w:r>
      <w:r>
        <w:rPr>
          <w:spacing w:val="-5"/>
          <w:sz w:val="24"/>
        </w:rPr>
        <w:t> </w:t>
      </w:r>
      <w:r>
        <w:rPr>
          <w:sz w:val="24"/>
        </w:rPr>
        <w:t>reglamento;</w:t>
      </w:r>
    </w:p>
    <w:p>
      <w:pPr>
        <w:pStyle w:val="ListParagraph"/>
        <w:numPr>
          <w:ilvl w:val="0"/>
          <w:numId w:val="8"/>
        </w:numPr>
        <w:tabs>
          <w:tab w:pos="1193" w:val="left" w:leader="none"/>
        </w:tabs>
        <w:spacing w:line="312" w:lineRule="auto" w:before="0" w:after="0"/>
        <w:ind w:left="1192" w:right="110" w:hanging="720"/>
        <w:jc w:val="both"/>
        <w:rPr>
          <w:sz w:val="24"/>
        </w:rPr>
      </w:pPr>
      <w:r>
        <w:rPr>
          <w:sz w:val="24"/>
        </w:rPr>
        <w:t>Fungir como órgano de apoyo del ayuntamiento en la atención, asesoría jurídica y psicológica, especializada y gratuita a las víctimas de</w:t>
      </w:r>
      <w:r>
        <w:rPr>
          <w:spacing w:val="-18"/>
          <w:sz w:val="24"/>
        </w:rPr>
        <w:t> </w:t>
      </w:r>
      <w:r>
        <w:rPr>
          <w:sz w:val="24"/>
        </w:rPr>
        <w:t>violencia;</w:t>
      </w:r>
    </w:p>
    <w:p>
      <w:pPr>
        <w:pStyle w:val="ListParagraph"/>
        <w:numPr>
          <w:ilvl w:val="0"/>
          <w:numId w:val="8"/>
        </w:numPr>
        <w:tabs>
          <w:tab w:pos="1193" w:val="left" w:leader="none"/>
        </w:tabs>
        <w:spacing w:line="312" w:lineRule="auto" w:before="0" w:after="0"/>
        <w:ind w:left="1192" w:right="111" w:hanging="720"/>
        <w:jc w:val="both"/>
        <w:rPr>
          <w:sz w:val="24"/>
        </w:rPr>
      </w:pPr>
      <w:r>
        <w:rPr>
          <w:sz w:val="24"/>
        </w:rPr>
        <w:t>Establecer programas de apoyo para mujeres en condiciones de vulnerabilidad, que tiendan a fortalecer su desarrollo</w:t>
      </w:r>
      <w:r>
        <w:rPr>
          <w:spacing w:val="-5"/>
          <w:sz w:val="24"/>
        </w:rPr>
        <w:t> </w:t>
      </w:r>
      <w:r>
        <w:rPr>
          <w:sz w:val="24"/>
        </w:rPr>
        <w:t>integral;</w:t>
      </w:r>
    </w:p>
    <w:p>
      <w:pPr>
        <w:pStyle w:val="ListParagraph"/>
        <w:numPr>
          <w:ilvl w:val="0"/>
          <w:numId w:val="8"/>
        </w:numPr>
        <w:tabs>
          <w:tab w:pos="1193" w:val="left" w:leader="none"/>
        </w:tabs>
        <w:spacing w:line="312" w:lineRule="auto" w:before="0" w:after="0"/>
        <w:ind w:left="1192" w:right="114" w:hanging="720"/>
        <w:jc w:val="both"/>
        <w:rPr>
          <w:sz w:val="24"/>
        </w:rPr>
      </w:pPr>
      <w:r>
        <w:rPr>
          <w:sz w:val="24"/>
        </w:rPr>
        <w:t>Promover la realización de campañas tanto de prevención, atención y erradicación de la violencia en contra de las mujeres, como de  información sobre los servicios que presta la institución, a las mujeres víctimas de violencia;</w:t>
      </w:r>
    </w:p>
    <w:p>
      <w:pPr>
        <w:pStyle w:val="ListParagraph"/>
        <w:numPr>
          <w:ilvl w:val="0"/>
          <w:numId w:val="8"/>
        </w:numPr>
        <w:tabs>
          <w:tab w:pos="1193" w:val="left" w:leader="none"/>
        </w:tabs>
        <w:spacing w:line="312" w:lineRule="auto" w:before="0" w:after="0"/>
        <w:ind w:left="1192" w:right="113" w:hanging="720"/>
        <w:jc w:val="both"/>
        <w:rPr>
          <w:sz w:val="24"/>
        </w:rPr>
      </w:pPr>
      <w:r>
        <w:rPr>
          <w:sz w:val="24"/>
        </w:rPr>
        <w:t>Llevar constancias administrativas de los hechos o actos de los que tome conocimiento y que de conformidad con la Ley Estatal, se consideren conductas violentas;</w:t>
      </w:r>
      <w:r>
        <w:rPr>
          <w:spacing w:val="1"/>
          <w:sz w:val="24"/>
        </w:rPr>
        <w:t> </w:t>
      </w:r>
      <w:r>
        <w:rPr>
          <w:sz w:val="24"/>
        </w:rPr>
        <w:t>y</w:t>
      </w:r>
    </w:p>
    <w:p>
      <w:pPr>
        <w:pStyle w:val="ListParagraph"/>
        <w:numPr>
          <w:ilvl w:val="0"/>
          <w:numId w:val="8"/>
        </w:numPr>
        <w:tabs>
          <w:tab w:pos="1193" w:val="left" w:leader="none"/>
        </w:tabs>
        <w:spacing w:line="294" w:lineRule="exact" w:before="0" w:after="0"/>
        <w:ind w:left="1192" w:right="0" w:hanging="721"/>
        <w:jc w:val="both"/>
        <w:rPr>
          <w:sz w:val="24"/>
        </w:rPr>
      </w:pPr>
      <w:r>
        <w:rPr>
          <w:sz w:val="24"/>
        </w:rPr>
        <w:t>Las demás que señale este reglamento.</w:t>
      </w:r>
    </w:p>
    <w:p>
      <w:pPr>
        <w:pStyle w:val="BodyText"/>
        <w:spacing w:before="4"/>
        <w:rPr>
          <w:sz w:val="38"/>
        </w:rPr>
      </w:pPr>
    </w:p>
    <w:p>
      <w:pPr>
        <w:spacing w:line="312" w:lineRule="auto" w:before="0"/>
        <w:ind w:left="112" w:right="115" w:firstLine="0"/>
        <w:jc w:val="left"/>
        <w:rPr>
          <w:sz w:val="24"/>
        </w:rPr>
      </w:pPr>
      <w:r>
        <w:rPr>
          <w:b/>
          <w:sz w:val="24"/>
        </w:rPr>
        <w:t>Artículo 10º. </w:t>
      </w:r>
      <w:r>
        <w:rPr>
          <w:sz w:val="24"/>
        </w:rPr>
        <w:t>La </w:t>
      </w:r>
      <w:r>
        <w:rPr>
          <w:b/>
          <w:sz w:val="24"/>
        </w:rPr>
        <w:t>unidad de transparencia municipal</w:t>
      </w:r>
      <w:r>
        <w:rPr>
          <w:sz w:val="24"/>
        </w:rPr>
        <w:t>, además de lo establecido en otros ordenamientos se encargará de:</w:t>
      </w:r>
    </w:p>
    <w:p>
      <w:pPr>
        <w:pStyle w:val="BodyText"/>
        <w:spacing w:before="2"/>
        <w:rPr>
          <w:sz w:val="31"/>
        </w:rPr>
      </w:pPr>
    </w:p>
    <w:p>
      <w:pPr>
        <w:pStyle w:val="ListParagraph"/>
        <w:numPr>
          <w:ilvl w:val="1"/>
          <w:numId w:val="8"/>
        </w:numPr>
        <w:tabs>
          <w:tab w:pos="1913" w:val="left" w:leader="none"/>
        </w:tabs>
        <w:spacing w:line="312" w:lineRule="auto" w:before="0" w:after="0"/>
        <w:ind w:left="1912" w:right="109" w:hanging="720"/>
        <w:jc w:val="both"/>
        <w:rPr>
          <w:sz w:val="24"/>
        </w:rPr>
      </w:pPr>
      <w:r>
        <w:rPr>
          <w:sz w:val="24"/>
        </w:rPr>
        <w:t>Recabar y difundir la información pública de carácter fundamental, relativa número de víctimas de violencia en el municipio; el tipo de violencia por la cual se atendió a la víctima; los recursos erogados en la atención de las víctimas, y demás información que se</w:t>
      </w:r>
      <w:r>
        <w:rPr>
          <w:spacing w:val="-16"/>
          <w:sz w:val="24"/>
        </w:rPr>
        <w:t> </w:t>
      </w:r>
      <w:r>
        <w:rPr>
          <w:sz w:val="24"/>
        </w:rPr>
        <w:t>requiera;</w:t>
      </w:r>
    </w:p>
    <w:p>
      <w:pPr>
        <w:pStyle w:val="ListParagraph"/>
        <w:numPr>
          <w:ilvl w:val="1"/>
          <w:numId w:val="8"/>
        </w:numPr>
        <w:tabs>
          <w:tab w:pos="1913" w:val="left" w:leader="none"/>
        </w:tabs>
        <w:spacing w:line="240" w:lineRule="auto" w:before="1" w:after="0"/>
        <w:ind w:left="1912" w:right="0" w:hanging="721"/>
        <w:jc w:val="both"/>
        <w:rPr>
          <w:sz w:val="24"/>
        </w:rPr>
      </w:pPr>
      <w:r>
        <w:rPr>
          <w:sz w:val="24"/>
        </w:rPr>
        <w:t>Recibir y dar trámite a las solicitudes de acceso a la</w:t>
      </w:r>
      <w:r>
        <w:rPr>
          <w:spacing w:val="-16"/>
          <w:sz w:val="24"/>
        </w:rPr>
        <w:t> </w:t>
      </w:r>
      <w:r>
        <w:rPr>
          <w:sz w:val="24"/>
        </w:rPr>
        <w:t>información;</w:t>
      </w:r>
    </w:p>
    <w:p>
      <w:pPr>
        <w:spacing w:after="0" w:line="240" w:lineRule="auto"/>
        <w:jc w:val="both"/>
        <w:rPr>
          <w:sz w:val="24"/>
        </w:rPr>
        <w:sectPr>
          <w:pgSz w:w="12250" w:h="15850"/>
          <w:pgMar w:header="0" w:footer="1060" w:top="1060" w:bottom="1260" w:left="1020" w:right="1020"/>
        </w:sectPr>
      </w:pPr>
    </w:p>
    <w:p>
      <w:pPr>
        <w:pStyle w:val="ListParagraph"/>
        <w:numPr>
          <w:ilvl w:val="1"/>
          <w:numId w:val="8"/>
        </w:numPr>
        <w:tabs>
          <w:tab w:pos="1913" w:val="left" w:leader="none"/>
        </w:tabs>
        <w:spacing w:line="312" w:lineRule="auto" w:before="73" w:after="0"/>
        <w:ind w:left="1912" w:right="110" w:hanging="720"/>
        <w:jc w:val="both"/>
        <w:rPr>
          <w:sz w:val="24"/>
        </w:rPr>
      </w:pPr>
      <w:r>
        <w:rPr>
          <w:sz w:val="24"/>
        </w:rPr>
        <w:t>Auxiliar a los particulares en la elaboración de solicitudes y, en su caso, orientarlos sobre los sujetos obligados que pudieran tener la información que</w:t>
      </w:r>
      <w:r>
        <w:rPr>
          <w:spacing w:val="-1"/>
          <w:sz w:val="24"/>
        </w:rPr>
        <w:t> </w:t>
      </w:r>
      <w:r>
        <w:rPr>
          <w:sz w:val="24"/>
        </w:rPr>
        <w:t>solicitan;</w:t>
      </w:r>
    </w:p>
    <w:p>
      <w:pPr>
        <w:pStyle w:val="ListParagraph"/>
        <w:numPr>
          <w:ilvl w:val="1"/>
          <w:numId w:val="8"/>
        </w:numPr>
        <w:tabs>
          <w:tab w:pos="1913" w:val="left" w:leader="none"/>
        </w:tabs>
        <w:spacing w:line="312" w:lineRule="auto" w:before="2" w:after="0"/>
        <w:ind w:left="1912" w:right="111" w:hanging="720"/>
        <w:jc w:val="both"/>
        <w:rPr>
          <w:sz w:val="24"/>
        </w:rPr>
      </w:pPr>
      <w:r>
        <w:rPr>
          <w:sz w:val="24"/>
        </w:rPr>
        <w:t>Realizar los trámites internos necesarios para entregar la información solicitada, además de efectuar las notificaciones a los</w:t>
      </w:r>
      <w:r>
        <w:rPr>
          <w:spacing w:val="-15"/>
          <w:sz w:val="24"/>
        </w:rPr>
        <w:t> </w:t>
      </w:r>
      <w:r>
        <w:rPr>
          <w:sz w:val="24"/>
        </w:rPr>
        <w:t>particulares;</w:t>
      </w:r>
    </w:p>
    <w:p>
      <w:pPr>
        <w:pStyle w:val="ListParagraph"/>
        <w:numPr>
          <w:ilvl w:val="1"/>
          <w:numId w:val="8"/>
        </w:numPr>
        <w:tabs>
          <w:tab w:pos="1913" w:val="left" w:leader="none"/>
        </w:tabs>
        <w:spacing w:line="312" w:lineRule="auto" w:before="0" w:after="0"/>
        <w:ind w:left="1912" w:right="113" w:hanging="720"/>
        <w:jc w:val="both"/>
        <w:rPr>
          <w:sz w:val="24"/>
        </w:rPr>
      </w:pPr>
      <w:r>
        <w:rPr>
          <w:sz w:val="24"/>
        </w:rPr>
        <w:t>Capacitar al personal necesario de los sujetos obligados para recibir y dar trámite a las solicitudes de acceso a la información con perspectiva de</w:t>
      </w:r>
      <w:r>
        <w:rPr>
          <w:spacing w:val="-1"/>
          <w:sz w:val="24"/>
        </w:rPr>
        <w:t> </w:t>
      </w:r>
      <w:r>
        <w:rPr>
          <w:sz w:val="24"/>
        </w:rPr>
        <w:t>género;</w:t>
      </w:r>
    </w:p>
    <w:p>
      <w:pPr>
        <w:pStyle w:val="ListParagraph"/>
        <w:numPr>
          <w:ilvl w:val="1"/>
          <w:numId w:val="8"/>
        </w:numPr>
        <w:tabs>
          <w:tab w:pos="1913" w:val="left" w:leader="none"/>
        </w:tabs>
        <w:spacing w:line="312" w:lineRule="auto" w:before="1" w:after="0"/>
        <w:ind w:left="1912" w:right="113" w:hanging="720"/>
        <w:jc w:val="both"/>
        <w:rPr>
          <w:sz w:val="24"/>
        </w:rPr>
      </w:pPr>
      <w:r>
        <w:rPr>
          <w:sz w:val="24"/>
        </w:rPr>
        <w:t>Informar al Instituto sobre la negativa de entrega de información por parte de algún servidor público o personal de los sujetos obligados, cuando no se encuentre desglosada por</w:t>
      </w:r>
      <w:r>
        <w:rPr>
          <w:spacing w:val="-4"/>
          <w:sz w:val="24"/>
        </w:rPr>
        <w:t> </w:t>
      </w:r>
      <w:r>
        <w:rPr>
          <w:sz w:val="24"/>
        </w:rPr>
        <w:t>sexo.</w:t>
      </w:r>
    </w:p>
    <w:p>
      <w:pPr>
        <w:pStyle w:val="BodyText"/>
        <w:spacing w:before="1"/>
        <w:rPr>
          <w:sz w:val="31"/>
        </w:rPr>
      </w:pPr>
    </w:p>
    <w:p>
      <w:pPr>
        <w:spacing w:line="312" w:lineRule="auto" w:before="0"/>
        <w:ind w:left="112" w:right="115" w:firstLine="0"/>
        <w:jc w:val="left"/>
        <w:rPr>
          <w:b/>
          <w:sz w:val="24"/>
        </w:rPr>
      </w:pPr>
      <w:r>
        <w:rPr>
          <w:b/>
          <w:sz w:val="24"/>
        </w:rPr>
        <w:t>Artículo 11º. </w:t>
      </w:r>
      <w:r>
        <w:rPr>
          <w:sz w:val="24"/>
        </w:rPr>
        <w:t>Corresponde a las </w:t>
      </w:r>
      <w:r>
        <w:rPr>
          <w:b/>
          <w:sz w:val="24"/>
        </w:rPr>
        <w:t>asociaciones de vecinos </w:t>
      </w:r>
      <w:r>
        <w:rPr>
          <w:sz w:val="24"/>
        </w:rPr>
        <w:t>dentro de su ámbito territorial</w:t>
      </w:r>
      <w:r>
        <w:rPr>
          <w:b/>
          <w:sz w:val="24"/>
        </w:rPr>
        <w:t>:</w:t>
      </w:r>
    </w:p>
    <w:p>
      <w:pPr>
        <w:pStyle w:val="BodyText"/>
        <w:spacing w:before="2"/>
        <w:rPr>
          <w:b/>
          <w:sz w:val="31"/>
        </w:rPr>
      </w:pPr>
    </w:p>
    <w:p>
      <w:pPr>
        <w:pStyle w:val="ListParagraph"/>
        <w:numPr>
          <w:ilvl w:val="0"/>
          <w:numId w:val="9"/>
        </w:numPr>
        <w:tabs>
          <w:tab w:pos="1193" w:val="left" w:leader="none"/>
        </w:tabs>
        <w:spacing w:line="312" w:lineRule="auto" w:before="0" w:after="0"/>
        <w:ind w:left="1192" w:right="111" w:hanging="720"/>
        <w:jc w:val="both"/>
        <w:rPr>
          <w:sz w:val="24"/>
        </w:rPr>
      </w:pPr>
      <w:r>
        <w:rPr>
          <w:sz w:val="24"/>
        </w:rPr>
        <w:t>Coadyuvar con el ayuntamiento en la aplicación de las políticas públicas establecidas, para prevenir, atender y erradicar la violencia contra las mujeres;</w:t>
      </w:r>
    </w:p>
    <w:p>
      <w:pPr>
        <w:pStyle w:val="ListParagraph"/>
        <w:numPr>
          <w:ilvl w:val="0"/>
          <w:numId w:val="9"/>
        </w:numPr>
        <w:tabs>
          <w:tab w:pos="1193" w:val="left" w:leader="none"/>
        </w:tabs>
        <w:spacing w:line="312" w:lineRule="auto" w:before="2" w:after="0"/>
        <w:ind w:left="1192" w:right="112" w:hanging="720"/>
        <w:jc w:val="both"/>
        <w:rPr>
          <w:sz w:val="24"/>
        </w:rPr>
      </w:pPr>
      <w:r>
        <w:rPr>
          <w:sz w:val="24"/>
        </w:rPr>
        <w:t>Difundir la información relativa a prevenir, atender y erradicar la violencia contra las</w:t>
      </w:r>
      <w:r>
        <w:rPr>
          <w:spacing w:val="-3"/>
          <w:sz w:val="24"/>
        </w:rPr>
        <w:t> </w:t>
      </w:r>
      <w:r>
        <w:rPr>
          <w:sz w:val="24"/>
        </w:rPr>
        <w:t>mujeres;</w:t>
      </w:r>
    </w:p>
    <w:p>
      <w:pPr>
        <w:pStyle w:val="ListParagraph"/>
        <w:numPr>
          <w:ilvl w:val="0"/>
          <w:numId w:val="9"/>
        </w:numPr>
        <w:tabs>
          <w:tab w:pos="1193" w:val="left" w:leader="none"/>
        </w:tabs>
        <w:spacing w:line="292" w:lineRule="exact" w:before="0" w:after="0"/>
        <w:ind w:left="1192" w:right="0" w:hanging="721"/>
        <w:jc w:val="both"/>
        <w:rPr>
          <w:sz w:val="24"/>
        </w:rPr>
      </w:pPr>
      <w:r>
        <w:rPr>
          <w:sz w:val="24"/>
        </w:rPr>
        <w:t>Promover la cultura del respeto a los derechos humanos de las</w:t>
      </w:r>
      <w:r>
        <w:rPr>
          <w:spacing w:val="-11"/>
          <w:sz w:val="24"/>
        </w:rPr>
        <w:t> </w:t>
      </w:r>
      <w:r>
        <w:rPr>
          <w:sz w:val="24"/>
        </w:rPr>
        <w:t>mujeres;</w:t>
      </w:r>
    </w:p>
    <w:p>
      <w:pPr>
        <w:pStyle w:val="ListParagraph"/>
        <w:numPr>
          <w:ilvl w:val="0"/>
          <w:numId w:val="9"/>
        </w:numPr>
        <w:tabs>
          <w:tab w:pos="1193" w:val="left" w:leader="none"/>
        </w:tabs>
        <w:spacing w:line="312" w:lineRule="auto" w:before="90" w:after="0"/>
        <w:ind w:left="1192" w:right="114" w:hanging="720"/>
        <w:jc w:val="both"/>
        <w:rPr>
          <w:sz w:val="24"/>
        </w:rPr>
      </w:pPr>
      <w:r>
        <w:rPr>
          <w:sz w:val="24"/>
        </w:rPr>
        <w:t>Coordinarse con las diferentes autoridades municipales para la prevención, atención y erradicación de la violencia contra las</w:t>
      </w:r>
      <w:r>
        <w:rPr>
          <w:spacing w:val="-8"/>
          <w:sz w:val="24"/>
        </w:rPr>
        <w:t> </w:t>
      </w:r>
      <w:r>
        <w:rPr>
          <w:sz w:val="24"/>
        </w:rPr>
        <w:t>mujeres;</w:t>
      </w:r>
    </w:p>
    <w:p>
      <w:pPr>
        <w:pStyle w:val="ListParagraph"/>
        <w:numPr>
          <w:ilvl w:val="0"/>
          <w:numId w:val="9"/>
        </w:numPr>
        <w:tabs>
          <w:tab w:pos="1193" w:val="left" w:leader="none"/>
        </w:tabs>
        <w:spacing w:line="312" w:lineRule="auto" w:before="0" w:after="0"/>
        <w:ind w:left="1192" w:right="111" w:hanging="720"/>
        <w:jc w:val="both"/>
        <w:rPr>
          <w:sz w:val="24"/>
        </w:rPr>
      </w:pPr>
      <w:r>
        <w:rPr>
          <w:sz w:val="24"/>
        </w:rPr>
        <w:t>Dar seguimiento a los trabajos de promoción y defensa de los derechos humanos de las mujeres, que lleven a cabo las dependencias de la administración pública</w:t>
      </w:r>
      <w:r>
        <w:rPr>
          <w:spacing w:val="-1"/>
          <w:sz w:val="24"/>
        </w:rPr>
        <w:t> </w:t>
      </w:r>
      <w:r>
        <w:rPr>
          <w:sz w:val="24"/>
        </w:rPr>
        <w:t>municipal;</w:t>
      </w:r>
    </w:p>
    <w:p>
      <w:pPr>
        <w:pStyle w:val="ListParagraph"/>
        <w:numPr>
          <w:ilvl w:val="0"/>
          <w:numId w:val="9"/>
        </w:numPr>
        <w:tabs>
          <w:tab w:pos="1193" w:val="left" w:leader="none"/>
        </w:tabs>
        <w:spacing w:line="312" w:lineRule="auto" w:before="0" w:after="0"/>
        <w:ind w:left="1192" w:right="111" w:hanging="720"/>
        <w:jc w:val="both"/>
        <w:rPr>
          <w:sz w:val="24"/>
        </w:rPr>
      </w:pPr>
      <w:r>
        <w:rPr>
          <w:sz w:val="24"/>
        </w:rPr>
        <w:t>Generar mecanismos de prevención, atención y derivación de las mujeres víctimas de violencia a las dependencias competentes para conocer del caso;</w:t>
      </w:r>
    </w:p>
    <w:p>
      <w:pPr>
        <w:pStyle w:val="ListParagraph"/>
        <w:numPr>
          <w:ilvl w:val="0"/>
          <w:numId w:val="9"/>
        </w:numPr>
        <w:tabs>
          <w:tab w:pos="1193" w:val="left" w:leader="none"/>
        </w:tabs>
        <w:spacing w:line="312" w:lineRule="auto" w:before="0" w:after="0"/>
        <w:ind w:left="1192" w:right="116" w:hanging="720"/>
        <w:jc w:val="both"/>
        <w:rPr>
          <w:sz w:val="24"/>
        </w:rPr>
      </w:pPr>
      <w:r>
        <w:rPr>
          <w:sz w:val="24"/>
        </w:rPr>
        <w:t>Generar y difundir información sobre prevención, atención y erradicación de la violencia en contra de las mujeres;</w:t>
      </w:r>
      <w:r>
        <w:rPr>
          <w:spacing w:val="-14"/>
          <w:sz w:val="24"/>
        </w:rPr>
        <w:t> </w:t>
      </w:r>
      <w:r>
        <w:rPr>
          <w:sz w:val="24"/>
        </w:rPr>
        <w:t>y</w:t>
      </w:r>
    </w:p>
    <w:p>
      <w:pPr>
        <w:pStyle w:val="ListParagraph"/>
        <w:numPr>
          <w:ilvl w:val="0"/>
          <w:numId w:val="9"/>
        </w:numPr>
        <w:tabs>
          <w:tab w:pos="1193" w:val="left" w:leader="none"/>
        </w:tabs>
        <w:spacing w:line="312" w:lineRule="auto" w:before="0" w:after="0"/>
        <w:ind w:left="1192" w:right="116" w:hanging="720"/>
        <w:jc w:val="both"/>
        <w:rPr>
          <w:sz w:val="24"/>
        </w:rPr>
      </w:pPr>
      <w:r>
        <w:rPr>
          <w:sz w:val="24"/>
        </w:rPr>
        <w:t>Apoyar a las autoridades encargadas de efectuar investigaciones en materia de violencia contra las</w:t>
      </w:r>
      <w:r>
        <w:rPr>
          <w:spacing w:val="-6"/>
          <w:sz w:val="24"/>
        </w:rPr>
        <w:t> </w:t>
      </w:r>
      <w:r>
        <w:rPr>
          <w:sz w:val="24"/>
        </w:rPr>
        <w:t>mujeres.</w:t>
      </w:r>
    </w:p>
    <w:p>
      <w:pPr>
        <w:spacing w:after="0" w:line="312" w:lineRule="auto"/>
        <w:jc w:val="both"/>
        <w:rPr>
          <w:sz w:val="24"/>
        </w:rPr>
        <w:sectPr>
          <w:pgSz w:w="12250" w:h="15850"/>
          <w:pgMar w:header="0" w:footer="1060" w:top="1060" w:bottom="1260" w:left="1020" w:right="1020"/>
        </w:sectPr>
      </w:pPr>
    </w:p>
    <w:p>
      <w:pPr>
        <w:pStyle w:val="Heading1"/>
        <w:spacing w:before="73"/>
      </w:pPr>
      <w:bookmarkStart w:name="_TOC_250016" w:id="5"/>
      <w:bookmarkEnd w:id="5"/>
      <w:r>
        <w:rPr/>
        <w:t>SECCIÓN PRIMERA</w:t>
      </w:r>
    </w:p>
    <w:p>
      <w:pPr>
        <w:pStyle w:val="Heading1"/>
        <w:spacing w:line="312" w:lineRule="auto" w:before="90"/>
        <w:ind w:left="1648" w:right="1649" w:hanging="1"/>
      </w:pPr>
      <w:bookmarkStart w:name="_TOC_250015" w:id="6"/>
      <w:r>
        <w:rPr/>
        <w:t>DE LA PROMOCIÓN DE POLÍTICAS ORIENTADAS A PREVENIR, ATENDER Y ERRADICAR LA VIOLENCIA CONTRA LAS</w:t>
      </w:r>
      <w:r>
        <w:rPr>
          <w:spacing w:val="5"/>
        </w:rPr>
        <w:t> </w:t>
      </w:r>
      <w:bookmarkEnd w:id="6"/>
      <w:r>
        <w:rPr>
          <w:spacing w:val="-3"/>
        </w:rPr>
        <w:t>MUJERES</w:t>
      </w:r>
    </w:p>
    <w:p>
      <w:pPr>
        <w:pStyle w:val="BodyText"/>
        <w:spacing w:before="2"/>
        <w:rPr>
          <w:b/>
          <w:sz w:val="31"/>
        </w:rPr>
      </w:pPr>
    </w:p>
    <w:p>
      <w:pPr>
        <w:pStyle w:val="BodyText"/>
        <w:spacing w:line="312" w:lineRule="auto"/>
        <w:ind w:left="112" w:right="112"/>
        <w:jc w:val="both"/>
      </w:pPr>
      <w:r>
        <w:rPr>
          <w:b/>
        </w:rPr>
        <w:t>Artículo 12º. </w:t>
      </w:r>
      <w:r>
        <w:rPr/>
        <w:t>El ayuntamiento deberá promover políticas orientadas a prevenir, atender y erradicar la violencia contra las mujeres de acuerdo a la Ley Estatal y al Programa Estatal, mismas que deberán sujetarse a los principios</w:t>
      </w:r>
      <w:r>
        <w:rPr>
          <w:spacing w:val="-13"/>
        </w:rPr>
        <w:t> </w:t>
      </w:r>
      <w:r>
        <w:rPr/>
        <w:t>rectores.</w:t>
      </w:r>
    </w:p>
    <w:p>
      <w:pPr>
        <w:pStyle w:val="BodyText"/>
        <w:spacing w:before="4"/>
        <w:rPr>
          <w:sz w:val="31"/>
        </w:rPr>
      </w:pPr>
    </w:p>
    <w:p>
      <w:pPr>
        <w:pStyle w:val="BodyText"/>
        <w:spacing w:line="312" w:lineRule="auto"/>
        <w:ind w:left="112" w:right="110"/>
        <w:jc w:val="both"/>
      </w:pPr>
      <w:r>
        <w:rPr>
          <w:b/>
        </w:rPr>
        <w:t>Artículo 13º. </w:t>
      </w:r>
      <w:r>
        <w:rPr/>
        <w:t>Las autoridades responsables deberán difundir a través de cualquier medio de comunicación las políticas en materia de prevención, atención y erradicación de violencia contra las mujeres acordadas por el ayuntamiento, para promover una cultura de igualdad, respeto y no discriminación.</w:t>
      </w:r>
    </w:p>
    <w:p>
      <w:pPr>
        <w:pStyle w:val="BodyText"/>
        <w:spacing w:before="2"/>
        <w:rPr>
          <w:sz w:val="31"/>
        </w:rPr>
      </w:pPr>
    </w:p>
    <w:p>
      <w:pPr>
        <w:pStyle w:val="BodyText"/>
        <w:spacing w:line="312" w:lineRule="auto"/>
        <w:ind w:left="112" w:right="112"/>
        <w:jc w:val="both"/>
      </w:pPr>
      <w:r>
        <w:rPr/>
        <w:t>Asimismo, deberán divulgar información oportuna sobre las causas, características, riesgos y efectos de la violencia contra las mujeres.</w:t>
      </w:r>
    </w:p>
    <w:p>
      <w:pPr>
        <w:pStyle w:val="BodyText"/>
        <w:spacing w:before="2"/>
        <w:rPr>
          <w:sz w:val="31"/>
        </w:rPr>
      </w:pPr>
    </w:p>
    <w:p>
      <w:pPr>
        <w:pStyle w:val="Heading1"/>
      </w:pPr>
      <w:r>
        <w:rPr/>
        <w:t>SECCIÓN SEGUNA</w:t>
      </w:r>
    </w:p>
    <w:p>
      <w:pPr>
        <w:pStyle w:val="Heading1"/>
        <w:spacing w:line="312" w:lineRule="auto" w:before="88"/>
      </w:pPr>
      <w:bookmarkStart w:name="_TOC_250014" w:id="7"/>
      <w:bookmarkEnd w:id="7"/>
      <w:r>
        <w:rPr/>
        <w:t>DE LA COLABORACIÓN CON EL ESTADO, EN LA ADOPCIÓN Y CONSOLIDACIÓN DEL PROGRAMA ESTATAL</w:t>
      </w:r>
    </w:p>
    <w:p>
      <w:pPr>
        <w:pStyle w:val="BodyText"/>
        <w:spacing w:before="2"/>
        <w:rPr>
          <w:b/>
          <w:sz w:val="31"/>
        </w:rPr>
      </w:pPr>
    </w:p>
    <w:p>
      <w:pPr>
        <w:pStyle w:val="BodyText"/>
        <w:spacing w:line="312" w:lineRule="auto"/>
        <w:ind w:left="112" w:right="115"/>
        <w:jc w:val="both"/>
      </w:pPr>
      <w:r>
        <w:rPr>
          <w:b/>
        </w:rPr>
        <w:t>Artículo 14º. </w:t>
      </w:r>
      <w:r>
        <w:rPr/>
        <w:t>El municipio, de acuerdo a su disponibilidad presupuestal, deberá colaborar con el Estado en la adopción y consolidación del Programa Estatal.</w:t>
      </w:r>
    </w:p>
    <w:p>
      <w:pPr>
        <w:pStyle w:val="BodyText"/>
        <w:spacing w:before="2"/>
        <w:rPr>
          <w:sz w:val="31"/>
        </w:rPr>
      </w:pPr>
    </w:p>
    <w:p>
      <w:pPr>
        <w:pStyle w:val="BodyText"/>
        <w:spacing w:line="312" w:lineRule="auto"/>
        <w:ind w:left="112" w:right="110"/>
        <w:jc w:val="both"/>
      </w:pPr>
      <w:r>
        <w:rPr>
          <w:b/>
        </w:rPr>
        <w:t>Artículo 15º. </w:t>
      </w:r>
      <w:r>
        <w:rPr/>
        <w:t>El ayuntamiento deberá incluir en el presupuesto de egresos del municipio, las partidas correspondientes a la implementación de acciones para la atención, prevención y erradicación de la violencia en el municipio, procurando  que no sean disminuidas respecto del ejercicio fiscal anterior ni sean transferidas a otras partidas.</w:t>
      </w:r>
    </w:p>
    <w:p>
      <w:pPr>
        <w:pStyle w:val="BodyText"/>
        <w:spacing w:before="4"/>
        <w:rPr>
          <w:sz w:val="31"/>
        </w:rPr>
      </w:pPr>
    </w:p>
    <w:p>
      <w:pPr>
        <w:pStyle w:val="BodyText"/>
        <w:spacing w:line="312" w:lineRule="auto"/>
        <w:ind w:left="112" w:right="109"/>
        <w:jc w:val="both"/>
      </w:pPr>
      <w:r>
        <w:rPr>
          <w:b/>
        </w:rPr>
        <w:t>Artículo 16º. </w:t>
      </w:r>
      <w:r>
        <w:rPr/>
        <w:t>Con la finalidad de prevenir y atender oportunamente los casos de violencia contra la mujer, el municipio, a través de la instancia municipal de la mujer, deberá proporcionar servicios gratuitos de atención, orientación y protección a las mujeres víctimas de violencia.</w:t>
      </w:r>
    </w:p>
    <w:p>
      <w:pPr>
        <w:spacing w:after="0" w:line="312" w:lineRule="auto"/>
        <w:jc w:val="both"/>
        <w:sectPr>
          <w:pgSz w:w="12250" w:h="15850"/>
          <w:pgMar w:header="0" w:footer="1060" w:top="1060" w:bottom="1260" w:left="1020" w:right="1020"/>
        </w:sectPr>
      </w:pPr>
    </w:p>
    <w:p>
      <w:pPr>
        <w:pStyle w:val="BodyText"/>
        <w:spacing w:line="312" w:lineRule="auto" w:before="73"/>
        <w:ind w:left="112" w:right="109"/>
        <w:jc w:val="both"/>
      </w:pPr>
      <w:r>
        <w:rPr>
          <w:b/>
        </w:rPr>
        <w:t>Artículo 17º. </w:t>
      </w:r>
      <w:r>
        <w:rPr/>
        <w:t>Los servicios incluirán la impartición de cursos dirigidos a la población, que tengan la finalidad de educar a hombres y mujeres sobre las causas y consecuencias de la violencia contra estas últimas; el fomento de modelos alternativos de conducta para erradicar la violencia; la entrega de escritos completos, breves y comprensibles, sobre normas, procedimientos y recomendaciones en situaciones de violencia y maneras de evitarla; así como cualquier otra acción dirigida a combatirla.</w:t>
      </w:r>
    </w:p>
    <w:p>
      <w:pPr>
        <w:pStyle w:val="BodyText"/>
        <w:spacing w:before="5"/>
        <w:rPr>
          <w:sz w:val="31"/>
        </w:rPr>
      </w:pPr>
    </w:p>
    <w:p>
      <w:pPr>
        <w:pStyle w:val="BodyText"/>
        <w:spacing w:line="312" w:lineRule="auto"/>
        <w:ind w:left="112" w:right="111"/>
        <w:jc w:val="both"/>
      </w:pPr>
      <w:r>
        <w:rPr>
          <w:b/>
        </w:rPr>
        <w:t>Artículo 18º. </w:t>
      </w:r>
      <w:r>
        <w:rPr/>
        <w:t>El ayuntamiento deberá diseñar la aplicación que de forma ordenada y sistemática realizarán las dependencias de la administración pública municipal para prevenir, atender y erradicar la violencia contra las mujeres, apegándose a los objetivos del Programa Estatal a corto, mediano y largo plazo.</w:t>
      </w:r>
    </w:p>
    <w:p>
      <w:pPr>
        <w:pStyle w:val="BodyText"/>
        <w:spacing w:before="2"/>
        <w:rPr>
          <w:sz w:val="31"/>
        </w:rPr>
      </w:pPr>
    </w:p>
    <w:p>
      <w:pPr>
        <w:pStyle w:val="BodyText"/>
        <w:spacing w:line="312" w:lineRule="auto" w:before="1"/>
        <w:ind w:left="112" w:right="115"/>
        <w:jc w:val="both"/>
      </w:pPr>
      <w:r>
        <w:rPr>
          <w:b/>
        </w:rPr>
        <w:t>Artículo 19º. </w:t>
      </w:r>
      <w:r>
        <w:rPr/>
        <w:t>El ayuntamiento deberá presentar ante el Instituto un informe respecto del cumplimiento de los objetivos del Programa Estatal.</w:t>
      </w:r>
    </w:p>
    <w:p>
      <w:pPr>
        <w:pStyle w:val="BodyText"/>
        <w:spacing w:before="1"/>
        <w:rPr>
          <w:sz w:val="31"/>
        </w:rPr>
      </w:pPr>
    </w:p>
    <w:p>
      <w:pPr>
        <w:pStyle w:val="BodyText"/>
        <w:spacing w:line="312" w:lineRule="auto" w:before="1"/>
        <w:ind w:left="112" w:right="111"/>
        <w:jc w:val="both"/>
      </w:pPr>
      <w:r>
        <w:rPr/>
        <w:t>Dicho informe deberá incluir las políticas e implementar, así como las propuestas y sugerencias para la adecuada ejecución del Programa Estatal en el municipio y las acciones ejecutadas a la fecha de solicitud y/o entrega del mismo.</w:t>
      </w:r>
    </w:p>
    <w:p>
      <w:pPr>
        <w:pStyle w:val="BodyText"/>
        <w:spacing w:before="1"/>
        <w:rPr>
          <w:sz w:val="31"/>
        </w:rPr>
      </w:pPr>
    </w:p>
    <w:p>
      <w:pPr>
        <w:spacing w:before="0"/>
        <w:ind w:left="112" w:right="0" w:firstLine="0"/>
        <w:jc w:val="both"/>
        <w:rPr>
          <w:sz w:val="24"/>
        </w:rPr>
      </w:pPr>
      <w:r>
        <w:rPr>
          <w:b/>
          <w:sz w:val="24"/>
        </w:rPr>
        <w:t>Artículo 20º. </w:t>
      </w:r>
      <w:r>
        <w:rPr>
          <w:sz w:val="24"/>
        </w:rPr>
        <w:t>El informe deberá contener como mínimo:</w:t>
      </w:r>
    </w:p>
    <w:p>
      <w:pPr>
        <w:pStyle w:val="BodyText"/>
        <w:spacing w:before="5"/>
        <w:rPr>
          <w:sz w:val="38"/>
        </w:rPr>
      </w:pPr>
    </w:p>
    <w:p>
      <w:pPr>
        <w:pStyle w:val="ListParagraph"/>
        <w:numPr>
          <w:ilvl w:val="1"/>
          <w:numId w:val="9"/>
        </w:numPr>
        <w:tabs>
          <w:tab w:pos="1913" w:val="left" w:leader="none"/>
        </w:tabs>
        <w:spacing w:line="312" w:lineRule="auto" w:before="0" w:after="0"/>
        <w:ind w:left="1912" w:right="110" w:hanging="720"/>
        <w:jc w:val="both"/>
        <w:rPr>
          <w:sz w:val="24"/>
        </w:rPr>
      </w:pPr>
      <w:r>
        <w:rPr>
          <w:sz w:val="24"/>
        </w:rPr>
        <w:t>La situación de las mujeres que habitan el municipio con relación a la equidad de género, niveles de educación, aspectos socio económicos, oportunidades y una descripción de los tipos de violencia más recurrentes y el perfil de los agresores que violentan a las</w:t>
      </w:r>
      <w:r>
        <w:rPr>
          <w:spacing w:val="-3"/>
          <w:sz w:val="24"/>
        </w:rPr>
        <w:t> </w:t>
      </w:r>
      <w:r>
        <w:rPr>
          <w:sz w:val="24"/>
        </w:rPr>
        <w:t>mujeres;</w:t>
      </w:r>
    </w:p>
    <w:p>
      <w:pPr>
        <w:pStyle w:val="ListParagraph"/>
        <w:numPr>
          <w:ilvl w:val="1"/>
          <w:numId w:val="9"/>
        </w:numPr>
        <w:tabs>
          <w:tab w:pos="1913" w:val="left" w:leader="none"/>
        </w:tabs>
        <w:spacing w:line="312" w:lineRule="auto" w:before="0" w:after="0"/>
        <w:ind w:left="1912" w:right="110" w:hanging="720"/>
        <w:jc w:val="both"/>
        <w:rPr>
          <w:sz w:val="24"/>
        </w:rPr>
      </w:pPr>
      <w:r>
        <w:rPr>
          <w:sz w:val="24"/>
        </w:rPr>
        <w:t>Lineamientos técnicos y ejecutivos principales para tomar a consideración en el municipio;</w:t>
      </w:r>
      <w:r>
        <w:rPr>
          <w:spacing w:val="-2"/>
          <w:sz w:val="24"/>
        </w:rPr>
        <w:t> </w:t>
      </w:r>
      <w:r>
        <w:rPr>
          <w:sz w:val="24"/>
        </w:rPr>
        <w:t>y</w:t>
      </w:r>
    </w:p>
    <w:p>
      <w:pPr>
        <w:pStyle w:val="ListParagraph"/>
        <w:numPr>
          <w:ilvl w:val="1"/>
          <w:numId w:val="9"/>
        </w:numPr>
        <w:tabs>
          <w:tab w:pos="1913" w:val="left" w:leader="none"/>
        </w:tabs>
        <w:spacing w:line="240" w:lineRule="auto" w:before="1" w:after="0"/>
        <w:ind w:left="1912" w:right="0" w:hanging="721"/>
        <w:jc w:val="both"/>
        <w:rPr>
          <w:sz w:val="24"/>
        </w:rPr>
      </w:pPr>
      <w:r>
        <w:rPr>
          <w:sz w:val="24"/>
        </w:rPr>
        <w:t>Acciones para lograr los objetivos del Programa</w:t>
      </w:r>
      <w:r>
        <w:rPr>
          <w:spacing w:val="-4"/>
          <w:sz w:val="24"/>
        </w:rPr>
        <w:t> </w:t>
      </w:r>
      <w:r>
        <w:rPr>
          <w:sz w:val="24"/>
        </w:rPr>
        <w:t>Estatal.</w:t>
      </w:r>
    </w:p>
    <w:p>
      <w:pPr>
        <w:spacing w:after="0" w:line="240" w:lineRule="auto"/>
        <w:jc w:val="both"/>
        <w:rPr>
          <w:sz w:val="24"/>
        </w:rPr>
        <w:sectPr>
          <w:pgSz w:w="12250" w:h="15850"/>
          <w:pgMar w:header="0" w:footer="1060" w:top="1060" w:bottom="1260" w:left="1020" w:right="1020"/>
        </w:sectPr>
      </w:pPr>
    </w:p>
    <w:p>
      <w:pPr>
        <w:pStyle w:val="Heading1"/>
        <w:spacing w:before="73"/>
      </w:pPr>
      <w:bookmarkStart w:name="_TOC_250013" w:id="8"/>
      <w:bookmarkEnd w:id="8"/>
      <w:r>
        <w:rPr/>
        <w:t>SECCIÓN TERCERA</w:t>
      </w:r>
    </w:p>
    <w:p>
      <w:pPr>
        <w:pStyle w:val="Heading1"/>
        <w:spacing w:line="312" w:lineRule="auto" w:before="90"/>
      </w:pPr>
      <w:bookmarkStart w:name="_TOC_250012" w:id="9"/>
      <w:bookmarkEnd w:id="9"/>
      <w:r>
        <w:rPr/>
        <w:t>DEL APOYO EN LA CREACIÓN DE CENTROS DE REFUGIO TEMPORALES PARA MUJERES VÍCTIMAS DE VIOLENCIA</w:t>
      </w:r>
    </w:p>
    <w:p>
      <w:pPr>
        <w:pStyle w:val="BodyText"/>
        <w:spacing w:before="2"/>
        <w:rPr>
          <w:b/>
          <w:sz w:val="31"/>
        </w:rPr>
      </w:pPr>
    </w:p>
    <w:p>
      <w:pPr>
        <w:pStyle w:val="BodyText"/>
        <w:spacing w:line="312" w:lineRule="auto"/>
        <w:ind w:left="112" w:right="112"/>
        <w:jc w:val="both"/>
      </w:pPr>
      <w:r>
        <w:rPr>
          <w:b/>
        </w:rPr>
        <w:t>Artículo 21º. </w:t>
      </w:r>
      <w:r>
        <w:rPr/>
        <w:t>El municipio apoyará la creación de centros de refugio temporales para mujeres víctima de violencia.</w:t>
      </w:r>
    </w:p>
    <w:p>
      <w:pPr>
        <w:pStyle w:val="BodyText"/>
        <w:spacing w:before="2"/>
        <w:rPr>
          <w:sz w:val="31"/>
        </w:rPr>
      </w:pPr>
    </w:p>
    <w:p>
      <w:pPr>
        <w:pStyle w:val="BodyText"/>
        <w:spacing w:line="312" w:lineRule="auto"/>
        <w:ind w:left="112" w:right="111"/>
        <w:jc w:val="both"/>
      </w:pPr>
      <w:r>
        <w:rPr/>
        <w:t>Los centros de refugio temporales deberán estar separados de los centros de atención y rehabilitación para agresores.</w:t>
      </w:r>
    </w:p>
    <w:p>
      <w:pPr>
        <w:pStyle w:val="BodyText"/>
        <w:spacing w:before="2"/>
        <w:rPr>
          <w:sz w:val="31"/>
        </w:rPr>
      </w:pPr>
    </w:p>
    <w:p>
      <w:pPr>
        <w:pStyle w:val="BodyText"/>
        <w:spacing w:line="312" w:lineRule="auto"/>
        <w:ind w:left="112" w:right="111"/>
        <w:jc w:val="both"/>
      </w:pPr>
      <w:r>
        <w:rPr>
          <w:b/>
        </w:rPr>
        <w:t>Artículo 22º. </w:t>
      </w:r>
      <w:r>
        <w:rPr/>
        <w:t>Los centros de refugio temporales para mujeres víctimas de violencia, deberán proporcionar atención psicológica, jurídica y médica.</w:t>
      </w:r>
    </w:p>
    <w:p>
      <w:pPr>
        <w:pStyle w:val="BodyText"/>
        <w:spacing w:before="5"/>
        <w:rPr>
          <w:sz w:val="31"/>
        </w:rPr>
      </w:pPr>
    </w:p>
    <w:p>
      <w:pPr>
        <w:pStyle w:val="BodyText"/>
        <w:spacing w:line="312" w:lineRule="auto"/>
        <w:ind w:left="112" w:right="111"/>
        <w:jc w:val="both"/>
      </w:pPr>
      <w:r>
        <w:rPr>
          <w:b/>
        </w:rPr>
        <w:t>Artículo 23º. </w:t>
      </w:r>
      <w:r>
        <w:rPr/>
        <w:t>El municipio podrá apoyar la creación y abastecimiento de algún centro de refugio temporal para mujeres víctimas de violencia y no cuenta con los recursos suficientes para lograrlo, podrá solicitar apoyos económicos a través del Instituto, elaborando una petición por escrito, fundamentando los motivos de su petición y la justificación del monto solicitado. El Instituto canalizará la petición a las instancias correspondientes.</w:t>
      </w:r>
    </w:p>
    <w:p>
      <w:pPr>
        <w:pStyle w:val="BodyText"/>
        <w:rPr>
          <w:sz w:val="31"/>
        </w:rPr>
      </w:pPr>
    </w:p>
    <w:p>
      <w:pPr>
        <w:pStyle w:val="BodyText"/>
        <w:spacing w:line="312" w:lineRule="auto" w:before="1"/>
        <w:ind w:left="112" w:right="110"/>
        <w:jc w:val="both"/>
      </w:pPr>
      <w:r>
        <w:rPr>
          <w:b/>
        </w:rPr>
        <w:t>Artículo 24º. </w:t>
      </w:r>
      <w:r>
        <w:rPr/>
        <w:t>La petición del municipio deberá ser presentada a través de oficio por la Secretaría General, debidamente firmada por la Presidencia, Secretaría General y la Sindicatura del ayuntamiento.</w:t>
      </w:r>
    </w:p>
    <w:p>
      <w:pPr>
        <w:pStyle w:val="BodyText"/>
        <w:spacing w:before="3"/>
        <w:rPr>
          <w:sz w:val="31"/>
        </w:rPr>
      </w:pPr>
    </w:p>
    <w:p>
      <w:pPr>
        <w:pStyle w:val="BodyText"/>
        <w:ind w:left="112"/>
        <w:jc w:val="both"/>
      </w:pPr>
      <w:r>
        <w:rPr/>
        <w:t>La petición del municipio deberá contener:</w:t>
      </w:r>
    </w:p>
    <w:p>
      <w:pPr>
        <w:pStyle w:val="BodyText"/>
        <w:spacing w:before="5"/>
        <w:rPr>
          <w:sz w:val="38"/>
        </w:rPr>
      </w:pPr>
    </w:p>
    <w:p>
      <w:pPr>
        <w:pStyle w:val="ListParagraph"/>
        <w:numPr>
          <w:ilvl w:val="0"/>
          <w:numId w:val="10"/>
        </w:numPr>
        <w:tabs>
          <w:tab w:pos="1192" w:val="left" w:leader="none"/>
          <w:tab w:pos="1193" w:val="left" w:leader="none"/>
        </w:tabs>
        <w:spacing w:line="240" w:lineRule="auto" w:before="0" w:after="0"/>
        <w:ind w:left="1192" w:right="0" w:hanging="721"/>
        <w:jc w:val="left"/>
        <w:rPr>
          <w:sz w:val="24"/>
        </w:rPr>
      </w:pPr>
      <w:r>
        <w:rPr>
          <w:sz w:val="24"/>
        </w:rPr>
        <w:t>Descripción del</w:t>
      </w:r>
      <w:r>
        <w:rPr>
          <w:spacing w:val="2"/>
          <w:sz w:val="24"/>
        </w:rPr>
        <w:t> </w:t>
      </w:r>
      <w:r>
        <w:rPr>
          <w:sz w:val="24"/>
        </w:rPr>
        <w:t>proyecto;</w:t>
      </w:r>
    </w:p>
    <w:p>
      <w:pPr>
        <w:pStyle w:val="ListParagraph"/>
        <w:numPr>
          <w:ilvl w:val="0"/>
          <w:numId w:val="10"/>
        </w:numPr>
        <w:tabs>
          <w:tab w:pos="1192" w:val="left" w:leader="none"/>
          <w:tab w:pos="1193" w:val="left" w:leader="none"/>
        </w:tabs>
        <w:spacing w:line="240" w:lineRule="auto" w:before="88" w:after="0"/>
        <w:ind w:left="1192" w:right="0" w:hanging="721"/>
        <w:jc w:val="left"/>
        <w:rPr>
          <w:sz w:val="24"/>
        </w:rPr>
      </w:pPr>
      <w:r>
        <w:rPr>
          <w:sz w:val="24"/>
        </w:rPr>
        <w:t>Fecha de inicio y</w:t>
      </w:r>
      <w:r>
        <w:rPr>
          <w:spacing w:val="-3"/>
          <w:sz w:val="24"/>
        </w:rPr>
        <w:t> </w:t>
      </w:r>
      <w:r>
        <w:rPr>
          <w:sz w:val="24"/>
        </w:rPr>
        <w:t>terminación;</w:t>
      </w:r>
    </w:p>
    <w:p>
      <w:pPr>
        <w:pStyle w:val="ListParagraph"/>
        <w:numPr>
          <w:ilvl w:val="0"/>
          <w:numId w:val="10"/>
        </w:numPr>
        <w:tabs>
          <w:tab w:pos="1192" w:val="left" w:leader="none"/>
          <w:tab w:pos="1193" w:val="left" w:leader="none"/>
        </w:tabs>
        <w:spacing w:line="240" w:lineRule="auto" w:before="87" w:after="0"/>
        <w:ind w:left="1192" w:right="0" w:hanging="721"/>
        <w:jc w:val="left"/>
        <w:rPr>
          <w:sz w:val="24"/>
        </w:rPr>
      </w:pPr>
      <w:r>
        <w:rPr>
          <w:sz w:val="24"/>
        </w:rPr>
        <w:t>Objetivos del centro de refugio y beneficios</w:t>
      </w:r>
      <w:r>
        <w:rPr>
          <w:spacing w:val="2"/>
          <w:sz w:val="24"/>
        </w:rPr>
        <w:t> </w:t>
      </w:r>
      <w:r>
        <w:rPr>
          <w:sz w:val="24"/>
        </w:rPr>
        <w:t>esperados;</w:t>
      </w:r>
    </w:p>
    <w:p>
      <w:pPr>
        <w:pStyle w:val="ListParagraph"/>
        <w:numPr>
          <w:ilvl w:val="0"/>
          <w:numId w:val="10"/>
        </w:numPr>
        <w:tabs>
          <w:tab w:pos="1192" w:val="left" w:leader="none"/>
          <w:tab w:pos="1193" w:val="left" w:leader="none"/>
        </w:tabs>
        <w:spacing w:line="240" w:lineRule="auto" w:before="90" w:after="0"/>
        <w:ind w:left="1192" w:right="0" w:hanging="721"/>
        <w:jc w:val="left"/>
        <w:rPr>
          <w:sz w:val="24"/>
        </w:rPr>
      </w:pPr>
      <w:r>
        <w:rPr>
          <w:sz w:val="24"/>
        </w:rPr>
        <w:t>Lugares y planos de las instalaciones del</w:t>
      </w:r>
      <w:r>
        <w:rPr>
          <w:spacing w:val="-20"/>
          <w:sz w:val="24"/>
        </w:rPr>
        <w:t> </w:t>
      </w:r>
      <w:r>
        <w:rPr>
          <w:sz w:val="24"/>
        </w:rPr>
        <w:t>proyecto;</w:t>
      </w:r>
    </w:p>
    <w:p>
      <w:pPr>
        <w:pStyle w:val="ListParagraph"/>
        <w:numPr>
          <w:ilvl w:val="0"/>
          <w:numId w:val="10"/>
        </w:numPr>
        <w:tabs>
          <w:tab w:pos="1192" w:val="left" w:leader="none"/>
          <w:tab w:pos="1193" w:val="left" w:leader="none"/>
        </w:tabs>
        <w:spacing w:line="240" w:lineRule="auto" w:before="87" w:after="0"/>
        <w:ind w:left="1192" w:right="0" w:hanging="721"/>
        <w:jc w:val="left"/>
        <w:rPr>
          <w:sz w:val="24"/>
        </w:rPr>
      </w:pPr>
      <w:r>
        <w:rPr>
          <w:sz w:val="24"/>
        </w:rPr>
        <w:t>Encargados de la implementación del proyecto;</w:t>
      </w:r>
      <w:r>
        <w:rPr>
          <w:spacing w:val="-17"/>
          <w:sz w:val="24"/>
        </w:rPr>
        <w:t> </w:t>
      </w:r>
      <w:r>
        <w:rPr>
          <w:sz w:val="24"/>
        </w:rPr>
        <w:t>y</w:t>
      </w:r>
    </w:p>
    <w:p>
      <w:pPr>
        <w:pStyle w:val="ListParagraph"/>
        <w:numPr>
          <w:ilvl w:val="0"/>
          <w:numId w:val="10"/>
        </w:numPr>
        <w:tabs>
          <w:tab w:pos="1192" w:val="left" w:leader="none"/>
          <w:tab w:pos="1193" w:val="left" w:leader="none"/>
        </w:tabs>
        <w:spacing w:line="240" w:lineRule="auto" w:before="90" w:after="0"/>
        <w:ind w:left="1192" w:right="0" w:hanging="721"/>
        <w:jc w:val="left"/>
        <w:rPr>
          <w:sz w:val="24"/>
        </w:rPr>
      </w:pPr>
      <w:r>
        <w:rPr>
          <w:sz w:val="24"/>
        </w:rPr>
        <w:t>Motivación y justificación del monto</w:t>
      </w:r>
      <w:r>
        <w:rPr>
          <w:spacing w:val="-1"/>
          <w:sz w:val="24"/>
        </w:rPr>
        <w:t> </w:t>
      </w:r>
      <w:r>
        <w:rPr>
          <w:sz w:val="24"/>
        </w:rPr>
        <w:t>solicitado.</w:t>
      </w:r>
    </w:p>
    <w:p>
      <w:pPr>
        <w:spacing w:after="0" w:line="240" w:lineRule="auto"/>
        <w:jc w:val="left"/>
        <w:rPr>
          <w:sz w:val="24"/>
        </w:rPr>
        <w:sectPr>
          <w:pgSz w:w="12250" w:h="15850"/>
          <w:pgMar w:header="0" w:footer="1060" w:top="1060" w:bottom="1260" w:left="1020" w:right="1020"/>
        </w:sectPr>
      </w:pPr>
    </w:p>
    <w:p>
      <w:pPr>
        <w:pStyle w:val="Heading1"/>
        <w:spacing w:before="73"/>
      </w:pPr>
      <w:bookmarkStart w:name="_TOC_250011" w:id="10"/>
      <w:bookmarkEnd w:id="10"/>
      <w:r>
        <w:rPr/>
        <w:t>SECCIÓN CUARTA</w:t>
      </w:r>
    </w:p>
    <w:p>
      <w:pPr>
        <w:pStyle w:val="Heading1"/>
        <w:spacing w:line="312" w:lineRule="auto" w:before="90"/>
        <w:ind w:left="1729"/>
      </w:pPr>
      <w:bookmarkStart w:name="_TOC_250010" w:id="11"/>
      <w:bookmarkEnd w:id="11"/>
      <w:r>
        <w:rPr/>
        <w:t>DEL APOYO EN LA CREACIÓN DE PROGRAMAS DE REEDUCACIÓN INTEGRAL PARA LOS AGRESORES</w:t>
      </w:r>
    </w:p>
    <w:p>
      <w:pPr>
        <w:pStyle w:val="BodyText"/>
        <w:spacing w:before="2"/>
        <w:rPr>
          <w:b/>
          <w:sz w:val="31"/>
        </w:rPr>
      </w:pPr>
    </w:p>
    <w:p>
      <w:pPr>
        <w:pStyle w:val="BodyText"/>
        <w:spacing w:line="312" w:lineRule="auto"/>
        <w:ind w:left="112" w:right="113"/>
        <w:jc w:val="both"/>
      </w:pPr>
      <w:r>
        <w:rPr>
          <w:b/>
        </w:rPr>
        <w:t>Artículo 25º. </w:t>
      </w:r>
      <w:r>
        <w:rPr/>
        <w:t>El municipio deberá apoyar la creación de programas de reeducación integral para los agresores, pudiéndose apegar a lo ya establecidos por el gobierno estatal.</w:t>
      </w:r>
    </w:p>
    <w:p>
      <w:pPr>
        <w:pStyle w:val="BodyText"/>
        <w:spacing w:before="4"/>
        <w:rPr>
          <w:sz w:val="31"/>
        </w:rPr>
      </w:pPr>
    </w:p>
    <w:p>
      <w:pPr>
        <w:pStyle w:val="BodyText"/>
        <w:spacing w:line="312" w:lineRule="auto"/>
        <w:ind w:left="112" w:right="113"/>
        <w:jc w:val="both"/>
      </w:pPr>
      <w:r>
        <w:rPr>
          <w:b/>
        </w:rPr>
        <w:t>Artículo 26º. </w:t>
      </w:r>
      <w:r>
        <w:rPr/>
        <w:t>El municipio podrá elaborar programas integrales en conjunto con otras dependencias con el objetivo de reeducar a los agresores y hacerlos concientes de los derechos de las mujeres y disuadirlos de utilizar la violencia como medio de convivencia.</w:t>
      </w:r>
    </w:p>
    <w:p>
      <w:pPr>
        <w:pStyle w:val="BodyText"/>
        <w:spacing w:before="2"/>
        <w:rPr>
          <w:sz w:val="31"/>
        </w:rPr>
      </w:pPr>
    </w:p>
    <w:p>
      <w:pPr>
        <w:pStyle w:val="BodyText"/>
        <w:spacing w:line="312" w:lineRule="auto"/>
        <w:ind w:left="112" w:right="113"/>
        <w:jc w:val="both"/>
      </w:pPr>
      <w:r>
        <w:rPr>
          <w:b/>
        </w:rPr>
        <w:t>Artículo 27º. </w:t>
      </w:r>
      <w:r>
        <w:rPr/>
        <w:t>Para la creación e implementación de los programas de reeducación, el ayuntamiento a través de la Secretaría General, podrá solicitar por escrito apoyo económico a través de un oficio ante el instituto, en el cual se deberá justificar el monto solicitado, las metas que se pretendan conseguir y su apego al Programa Estatal.</w:t>
      </w:r>
    </w:p>
    <w:p>
      <w:pPr>
        <w:pStyle w:val="BodyText"/>
        <w:spacing w:before="2"/>
        <w:rPr>
          <w:sz w:val="31"/>
        </w:rPr>
      </w:pPr>
    </w:p>
    <w:p>
      <w:pPr>
        <w:pStyle w:val="BodyText"/>
        <w:spacing w:line="312" w:lineRule="auto"/>
        <w:ind w:left="112" w:right="110"/>
        <w:jc w:val="both"/>
      </w:pPr>
      <w:r>
        <w:rPr>
          <w:b/>
        </w:rPr>
        <w:t>Artículo 28º. </w:t>
      </w:r>
      <w:r>
        <w:rPr/>
        <w:t>La petición del municipio deberá ser firmada por el Presidente la Secretaría General y la Sindicatura del ayuntamiento y deberá contener:</w:t>
      </w:r>
    </w:p>
    <w:p>
      <w:pPr>
        <w:pStyle w:val="BodyText"/>
        <w:spacing w:before="2"/>
        <w:rPr>
          <w:sz w:val="31"/>
        </w:rPr>
      </w:pPr>
    </w:p>
    <w:p>
      <w:pPr>
        <w:pStyle w:val="ListParagraph"/>
        <w:numPr>
          <w:ilvl w:val="0"/>
          <w:numId w:val="11"/>
        </w:numPr>
        <w:tabs>
          <w:tab w:pos="1192" w:val="left" w:leader="none"/>
          <w:tab w:pos="1193" w:val="left" w:leader="none"/>
        </w:tabs>
        <w:spacing w:line="240" w:lineRule="auto" w:before="0" w:after="0"/>
        <w:ind w:left="1192" w:right="0" w:hanging="721"/>
        <w:jc w:val="left"/>
        <w:rPr>
          <w:sz w:val="24"/>
        </w:rPr>
      </w:pPr>
      <w:r>
        <w:rPr>
          <w:sz w:val="24"/>
        </w:rPr>
        <w:t>Descripción del</w:t>
      </w:r>
      <w:r>
        <w:rPr>
          <w:spacing w:val="2"/>
          <w:sz w:val="24"/>
        </w:rPr>
        <w:t> </w:t>
      </w:r>
      <w:r>
        <w:rPr>
          <w:sz w:val="24"/>
        </w:rPr>
        <w:t>proyecto;</w:t>
      </w:r>
    </w:p>
    <w:p>
      <w:pPr>
        <w:pStyle w:val="ListParagraph"/>
        <w:numPr>
          <w:ilvl w:val="0"/>
          <w:numId w:val="11"/>
        </w:numPr>
        <w:tabs>
          <w:tab w:pos="1192" w:val="left" w:leader="none"/>
          <w:tab w:pos="1193" w:val="left" w:leader="none"/>
        </w:tabs>
        <w:spacing w:line="240" w:lineRule="auto" w:before="87" w:after="0"/>
        <w:ind w:left="1192" w:right="0" w:hanging="721"/>
        <w:jc w:val="left"/>
        <w:rPr>
          <w:sz w:val="24"/>
        </w:rPr>
      </w:pPr>
      <w:r>
        <w:rPr>
          <w:sz w:val="24"/>
        </w:rPr>
        <w:t>Fecha de inicio y</w:t>
      </w:r>
      <w:r>
        <w:rPr>
          <w:spacing w:val="-3"/>
          <w:sz w:val="24"/>
        </w:rPr>
        <w:t> </w:t>
      </w:r>
      <w:r>
        <w:rPr>
          <w:sz w:val="24"/>
        </w:rPr>
        <w:t>terminación;</w:t>
      </w:r>
    </w:p>
    <w:p>
      <w:pPr>
        <w:pStyle w:val="ListParagraph"/>
        <w:numPr>
          <w:ilvl w:val="0"/>
          <w:numId w:val="11"/>
        </w:numPr>
        <w:tabs>
          <w:tab w:pos="1192" w:val="left" w:leader="none"/>
          <w:tab w:pos="1193" w:val="left" w:leader="none"/>
        </w:tabs>
        <w:spacing w:line="240" w:lineRule="auto" w:before="90" w:after="0"/>
        <w:ind w:left="1192" w:right="0" w:hanging="721"/>
        <w:jc w:val="left"/>
        <w:rPr>
          <w:sz w:val="24"/>
        </w:rPr>
      </w:pPr>
      <w:r>
        <w:rPr>
          <w:sz w:val="24"/>
        </w:rPr>
        <w:t>Objetivos del programa y beneficios</w:t>
      </w:r>
      <w:r>
        <w:rPr>
          <w:spacing w:val="3"/>
          <w:sz w:val="24"/>
        </w:rPr>
        <w:t> </w:t>
      </w:r>
      <w:r>
        <w:rPr>
          <w:sz w:val="24"/>
        </w:rPr>
        <w:t>esperados;</w:t>
      </w:r>
    </w:p>
    <w:p>
      <w:pPr>
        <w:pStyle w:val="ListParagraph"/>
        <w:numPr>
          <w:ilvl w:val="0"/>
          <w:numId w:val="11"/>
        </w:numPr>
        <w:tabs>
          <w:tab w:pos="1192" w:val="left" w:leader="none"/>
          <w:tab w:pos="1193" w:val="left" w:leader="none"/>
        </w:tabs>
        <w:spacing w:line="240" w:lineRule="auto" w:before="87" w:after="0"/>
        <w:ind w:left="1192" w:right="0" w:hanging="721"/>
        <w:jc w:val="left"/>
        <w:rPr>
          <w:sz w:val="24"/>
        </w:rPr>
      </w:pPr>
      <w:r>
        <w:rPr>
          <w:sz w:val="24"/>
        </w:rPr>
        <w:t>Desglose financiero detallado del</w:t>
      </w:r>
      <w:r>
        <w:rPr>
          <w:spacing w:val="-4"/>
          <w:sz w:val="24"/>
        </w:rPr>
        <w:t> </w:t>
      </w:r>
      <w:r>
        <w:rPr>
          <w:sz w:val="24"/>
        </w:rPr>
        <w:t>proyecto;</w:t>
      </w:r>
    </w:p>
    <w:p>
      <w:pPr>
        <w:pStyle w:val="ListParagraph"/>
        <w:numPr>
          <w:ilvl w:val="0"/>
          <w:numId w:val="11"/>
        </w:numPr>
        <w:tabs>
          <w:tab w:pos="1192" w:val="left" w:leader="none"/>
          <w:tab w:pos="1193" w:val="left" w:leader="none"/>
        </w:tabs>
        <w:spacing w:line="240" w:lineRule="auto" w:before="90" w:after="0"/>
        <w:ind w:left="1192" w:right="0" w:hanging="721"/>
        <w:jc w:val="left"/>
        <w:rPr>
          <w:sz w:val="24"/>
        </w:rPr>
      </w:pPr>
      <w:r>
        <w:rPr>
          <w:sz w:val="24"/>
        </w:rPr>
        <w:t>Encargados de la realización del proyecto;</w:t>
      </w:r>
      <w:r>
        <w:rPr>
          <w:spacing w:val="-2"/>
          <w:sz w:val="24"/>
        </w:rPr>
        <w:t> </w:t>
      </w:r>
      <w:r>
        <w:rPr>
          <w:sz w:val="24"/>
        </w:rPr>
        <w:t>y</w:t>
      </w:r>
    </w:p>
    <w:p>
      <w:pPr>
        <w:pStyle w:val="ListParagraph"/>
        <w:numPr>
          <w:ilvl w:val="0"/>
          <w:numId w:val="11"/>
        </w:numPr>
        <w:tabs>
          <w:tab w:pos="1192" w:val="left" w:leader="none"/>
          <w:tab w:pos="1193" w:val="left" w:leader="none"/>
        </w:tabs>
        <w:spacing w:line="240" w:lineRule="auto" w:before="88" w:after="0"/>
        <w:ind w:left="1192" w:right="0" w:hanging="721"/>
        <w:jc w:val="left"/>
        <w:rPr>
          <w:sz w:val="24"/>
        </w:rPr>
      </w:pPr>
      <w:r>
        <w:rPr>
          <w:sz w:val="24"/>
        </w:rPr>
        <w:t>Motivación y justificación del monto</w:t>
      </w:r>
      <w:r>
        <w:rPr>
          <w:spacing w:val="-1"/>
          <w:sz w:val="24"/>
        </w:rPr>
        <w:t> </w:t>
      </w:r>
      <w:r>
        <w:rPr>
          <w:sz w:val="24"/>
        </w:rPr>
        <w:t>solicitado.</w:t>
      </w:r>
    </w:p>
    <w:p>
      <w:pPr>
        <w:pStyle w:val="BodyText"/>
        <w:spacing w:before="5"/>
        <w:rPr>
          <w:sz w:val="38"/>
        </w:rPr>
      </w:pPr>
    </w:p>
    <w:p>
      <w:pPr>
        <w:pStyle w:val="Heading1"/>
      </w:pPr>
      <w:bookmarkStart w:name="_TOC_250009" w:id="12"/>
      <w:bookmarkEnd w:id="12"/>
      <w:r>
        <w:rPr/>
        <w:t>SECCIÓN QUINTA</w:t>
      </w:r>
    </w:p>
    <w:p>
      <w:pPr>
        <w:pStyle w:val="Heading1"/>
        <w:spacing w:line="312" w:lineRule="auto" w:before="87"/>
        <w:ind w:left="291" w:right="293"/>
      </w:pPr>
      <w:bookmarkStart w:name="_TOC_250008" w:id="13"/>
      <w:bookmarkEnd w:id="13"/>
      <w:r>
        <w:rPr/>
        <w:t>DE LA PARTICIPACIÓN EN LA PREVENCIÓN, ATENCIÓN Y ERRADICACIÓN DE LA VIOLENCIA CONTRA LAS MUJERES</w:t>
      </w:r>
    </w:p>
    <w:p>
      <w:pPr>
        <w:spacing w:after="0" w:line="312" w:lineRule="auto"/>
        <w:sectPr>
          <w:pgSz w:w="12250" w:h="15850"/>
          <w:pgMar w:header="0" w:footer="1060" w:top="1060" w:bottom="1260" w:left="1020" w:right="1020"/>
        </w:sectPr>
      </w:pPr>
    </w:p>
    <w:p>
      <w:pPr>
        <w:pStyle w:val="BodyText"/>
        <w:spacing w:line="312" w:lineRule="auto" w:before="73"/>
        <w:ind w:left="112" w:right="110"/>
        <w:jc w:val="both"/>
      </w:pPr>
      <w:r>
        <w:rPr>
          <w:b/>
        </w:rPr>
        <w:t>Artículo 29º. </w:t>
      </w:r>
      <w:r>
        <w:rPr/>
        <w:t>El ayuntamiento deberá desarrollar medidas de prevención de violencia de género contra las mujeres, asimismo, atenderá las determinaciones que el Consejo Estatal emita en la materia.</w:t>
      </w:r>
    </w:p>
    <w:p>
      <w:pPr>
        <w:pStyle w:val="BodyText"/>
        <w:spacing w:before="4"/>
        <w:rPr>
          <w:sz w:val="31"/>
        </w:rPr>
      </w:pPr>
    </w:p>
    <w:p>
      <w:pPr>
        <w:pStyle w:val="BodyText"/>
        <w:spacing w:line="312" w:lineRule="auto"/>
        <w:ind w:left="112" w:right="111"/>
        <w:jc w:val="both"/>
      </w:pPr>
      <w:r>
        <w:rPr>
          <w:b/>
        </w:rPr>
        <w:t>Artículo 30º. </w:t>
      </w:r>
      <w:r>
        <w:rPr/>
        <w:t>El ayuntamiento, a través de la instancia municipal de la mujer, se encargará de la recepción y el seguimiento de las quejas de mujeres víctimas de violencia, derivándolas a las instancias correspondientes.</w:t>
      </w:r>
    </w:p>
    <w:p>
      <w:pPr>
        <w:pStyle w:val="BodyText"/>
        <w:spacing w:before="3"/>
        <w:rPr>
          <w:sz w:val="31"/>
        </w:rPr>
      </w:pPr>
    </w:p>
    <w:p>
      <w:pPr>
        <w:pStyle w:val="BodyText"/>
        <w:spacing w:line="312" w:lineRule="auto" w:before="1"/>
        <w:ind w:left="112" w:right="113"/>
        <w:jc w:val="both"/>
      </w:pPr>
      <w:r>
        <w:rPr>
          <w:b/>
        </w:rPr>
        <w:t>Artículo 31º. </w:t>
      </w:r>
      <w:r>
        <w:rPr/>
        <w:t>El ayuntamiento deberá tener los espacios físicos idóneos y con privacidad para brindar una atención adecuada a las mujeres víctimas de violencia.</w:t>
      </w:r>
    </w:p>
    <w:p>
      <w:pPr>
        <w:pStyle w:val="BodyText"/>
        <w:spacing w:before="1"/>
        <w:rPr>
          <w:sz w:val="31"/>
        </w:rPr>
      </w:pPr>
    </w:p>
    <w:p>
      <w:pPr>
        <w:pStyle w:val="BodyText"/>
        <w:spacing w:line="312" w:lineRule="auto" w:before="1"/>
        <w:ind w:left="112" w:right="112"/>
        <w:jc w:val="both"/>
      </w:pPr>
      <w:r>
        <w:rPr/>
        <w:t>La atención que el Ayuntamiento brinde a las víctimas deberá se inmediata, de primer contacto y especializada y cumplir con los lineamientos que señala el artículo 46 de la Ley Estatal para tal efecto.</w:t>
      </w:r>
    </w:p>
    <w:p>
      <w:pPr>
        <w:pStyle w:val="BodyText"/>
        <w:rPr>
          <w:sz w:val="31"/>
        </w:rPr>
      </w:pPr>
    </w:p>
    <w:p>
      <w:pPr>
        <w:pStyle w:val="BodyText"/>
        <w:spacing w:line="312" w:lineRule="auto" w:before="1"/>
        <w:ind w:left="112" w:right="111"/>
        <w:jc w:val="both"/>
      </w:pPr>
      <w:r>
        <w:rPr/>
        <w:t>Dicha atención incluirá asesoría y representación jurídica gratuita a través de los abogados adscritos a las dependencias municipales que cuenten con dicho servicio.</w:t>
      </w:r>
    </w:p>
    <w:p>
      <w:pPr>
        <w:pStyle w:val="BodyText"/>
        <w:spacing w:before="3"/>
        <w:rPr>
          <w:sz w:val="31"/>
        </w:rPr>
      </w:pPr>
    </w:p>
    <w:p>
      <w:pPr>
        <w:pStyle w:val="BodyText"/>
        <w:spacing w:line="312" w:lineRule="auto"/>
        <w:ind w:left="112" w:right="114"/>
        <w:jc w:val="both"/>
      </w:pPr>
      <w:r>
        <w:rPr>
          <w:b/>
        </w:rPr>
        <w:t>Artículo 32º. </w:t>
      </w:r>
      <w:r>
        <w:rPr/>
        <w:t>Una vez presentada la queja correspondiente, el Ayuntamiento orientará a la víctima en un término no mayor a 24 horas a partir de su</w:t>
      </w:r>
      <w:r>
        <w:rPr>
          <w:spacing w:val="-19"/>
        </w:rPr>
        <w:t> </w:t>
      </w:r>
      <w:r>
        <w:rPr/>
        <w:t>recepción.</w:t>
      </w:r>
    </w:p>
    <w:p>
      <w:pPr>
        <w:pStyle w:val="BodyText"/>
        <w:spacing w:before="2"/>
        <w:rPr>
          <w:sz w:val="31"/>
        </w:rPr>
      </w:pPr>
    </w:p>
    <w:p>
      <w:pPr>
        <w:pStyle w:val="BodyText"/>
        <w:spacing w:line="312" w:lineRule="auto"/>
        <w:ind w:left="112" w:right="114"/>
        <w:jc w:val="both"/>
      </w:pPr>
      <w:r>
        <w:rPr/>
        <w:t>El personal deberá conocer los alcances de las quejas presentadas por las víctimas así como los diversos organismos con los que deberán canalizarse.</w:t>
      </w:r>
    </w:p>
    <w:p>
      <w:pPr>
        <w:pStyle w:val="BodyText"/>
        <w:spacing w:before="2"/>
        <w:rPr>
          <w:sz w:val="31"/>
        </w:rPr>
      </w:pPr>
    </w:p>
    <w:p>
      <w:pPr>
        <w:pStyle w:val="BodyText"/>
        <w:spacing w:line="312" w:lineRule="auto"/>
        <w:ind w:left="112" w:right="112"/>
        <w:jc w:val="both"/>
      </w:pPr>
      <w:r>
        <w:rPr>
          <w:b/>
        </w:rPr>
        <w:t>Artículo 33º. </w:t>
      </w:r>
      <w:r>
        <w:rPr/>
        <w:t>En caso de emergencia, las mujeres víctimas de violencia deberán ser canalizadas por el Ayuntamiento, al Ministerio Público.</w:t>
      </w:r>
    </w:p>
    <w:p>
      <w:pPr>
        <w:pStyle w:val="BodyText"/>
        <w:spacing w:before="2"/>
        <w:rPr>
          <w:sz w:val="31"/>
        </w:rPr>
      </w:pPr>
    </w:p>
    <w:p>
      <w:pPr>
        <w:pStyle w:val="BodyText"/>
        <w:spacing w:line="312" w:lineRule="auto"/>
        <w:ind w:left="112" w:right="110"/>
        <w:jc w:val="both"/>
      </w:pPr>
      <w:r>
        <w:rPr>
          <w:b/>
        </w:rPr>
        <w:t>Artículo 34º. </w:t>
      </w:r>
      <w:r>
        <w:rPr/>
        <w:t>En los casos en que no sea posible la presencia inmediata del Ministerio Público, el Síndico del ayuntamiento o la autoridad que este designe, podrá dictar medidas de protección y de urgente aplicación en función del interés superior de la víctima.</w:t>
      </w:r>
    </w:p>
    <w:p>
      <w:pPr>
        <w:pStyle w:val="BodyText"/>
        <w:spacing w:before="3"/>
        <w:rPr>
          <w:sz w:val="31"/>
        </w:rPr>
      </w:pPr>
    </w:p>
    <w:p>
      <w:pPr>
        <w:pStyle w:val="BodyText"/>
        <w:spacing w:line="312" w:lineRule="auto"/>
        <w:ind w:left="112" w:right="112"/>
        <w:jc w:val="both"/>
      </w:pPr>
      <w:r>
        <w:rPr>
          <w:b/>
        </w:rPr>
        <w:t>Artículo 35º. </w:t>
      </w:r>
      <w:r>
        <w:rPr/>
        <w:t>Se considerará un caso de emergencia aquel en el cual peligre la vida de la mujer víctima de violencia, así como su integridad física, sexual o moral. Las</w:t>
      </w:r>
    </w:p>
    <w:p>
      <w:pPr>
        <w:spacing w:after="0" w:line="312" w:lineRule="auto"/>
        <w:jc w:val="both"/>
        <w:sectPr>
          <w:pgSz w:w="12250" w:h="15850"/>
          <w:pgMar w:header="0" w:footer="1060" w:top="1060" w:bottom="1260" w:left="1020" w:right="1020"/>
        </w:sectPr>
      </w:pPr>
    </w:p>
    <w:p>
      <w:pPr>
        <w:pStyle w:val="BodyText"/>
        <w:spacing w:line="312" w:lineRule="auto" w:before="73"/>
        <w:ind w:left="112" w:right="114"/>
        <w:jc w:val="both"/>
      </w:pPr>
      <w:r>
        <w:rPr/>
        <w:t>medidas de emergencia no deberán exceder una temporalidad mayor a las 72 horas, contadas a partir de que se dicten.</w:t>
      </w:r>
    </w:p>
    <w:p>
      <w:pPr>
        <w:pStyle w:val="BodyText"/>
        <w:spacing w:before="5"/>
        <w:rPr>
          <w:sz w:val="31"/>
        </w:rPr>
      </w:pPr>
    </w:p>
    <w:p>
      <w:pPr>
        <w:pStyle w:val="BodyText"/>
        <w:spacing w:line="312" w:lineRule="auto"/>
        <w:ind w:left="112" w:right="116"/>
        <w:jc w:val="both"/>
      </w:pPr>
      <w:r>
        <w:rPr>
          <w:b/>
        </w:rPr>
        <w:t>Artículo 36º. </w:t>
      </w:r>
      <w:r>
        <w:rPr/>
        <w:t>Para determinar la medida implementar en casos de emergencia, el ayuntamiento considerará:</w:t>
      </w:r>
    </w:p>
    <w:p>
      <w:pPr>
        <w:pStyle w:val="BodyText"/>
        <w:spacing w:before="2"/>
        <w:rPr>
          <w:sz w:val="31"/>
        </w:rPr>
      </w:pPr>
    </w:p>
    <w:p>
      <w:pPr>
        <w:pStyle w:val="ListParagraph"/>
        <w:numPr>
          <w:ilvl w:val="0"/>
          <w:numId w:val="12"/>
        </w:numPr>
        <w:tabs>
          <w:tab w:pos="820" w:val="left" w:leader="none"/>
          <w:tab w:pos="821" w:val="left" w:leader="none"/>
        </w:tabs>
        <w:spacing w:line="240" w:lineRule="auto" w:before="0" w:after="0"/>
        <w:ind w:left="820" w:right="0" w:hanging="438"/>
        <w:jc w:val="left"/>
        <w:rPr>
          <w:sz w:val="24"/>
        </w:rPr>
      </w:pPr>
      <w:r>
        <w:rPr>
          <w:sz w:val="24"/>
        </w:rPr>
        <w:t>El riesgo o peligro</w:t>
      </w:r>
      <w:r>
        <w:rPr>
          <w:spacing w:val="-1"/>
          <w:sz w:val="24"/>
        </w:rPr>
        <w:t> </w:t>
      </w:r>
      <w:r>
        <w:rPr>
          <w:sz w:val="24"/>
        </w:rPr>
        <w:t>existente.</w:t>
      </w:r>
    </w:p>
    <w:p>
      <w:pPr>
        <w:pStyle w:val="ListParagraph"/>
        <w:numPr>
          <w:ilvl w:val="0"/>
          <w:numId w:val="12"/>
        </w:numPr>
        <w:tabs>
          <w:tab w:pos="820" w:val="left" w:leader="none"/>
          <w:tab w:pos="821" w:val="left" w:leader="none"/>
        </w:tabs>
        <w:spacing w:line="240" w:lineRule="auto" w:before="87" w:after="0"/>
        <w:ind w:left="820" w:right="0" w:hanging="505"/>
        <w:jc w:val="left"/>
        <w:rPr>
          <w:sz w:val="24"/>
        </w:rPr>
      </w:pPr>
      <w:r>
        <w:rPr>
          <w:sz w:val="24"/>
        </w:rPr>
        <w:t>La seguridad de la víctima y sus hijos,</w:t>
      </w:r>
      <w:r>
        <w:rPr>
          <w:spacing w:val="-12"/>
          <w:sz w:val="24"/>
        </w:rPr>
        <w:t> </w:t>
      </w:r>
      <w:r>
        <w:rPr>
          <w:sz w:val="24"/>
        </w:rPr>
        <w:t>y</w:t>
      </w:r>
    </w:p>
    <w:p>
      <w:pPr>
        <w:pStyle w:val="ListParagraph"/>
        <w:numPr>
          <w:ilvl w:val="0"/>
          <w:numId w:val="12"/>
        </w:numPr>
        <w:tabs>
          <w:tab w:pos="820" w:val="left" w:leader="none"/>
          <w:tab w:pos="821" w:val="left" w:leader="none"/>
        </w:tabs>
        <w:spacing w:line="240" w:lineRule="auto" w:before="90" w:after="0"/>
        <w:ind w:left="820" w:right="0" w:hanging="572"/>
        <w:jc w:val="left"/>
        <w:rPr>
          <w:sz w:val="24"/>
        </w:rPr>
      </w:pPr>
      <w:r>
        <w:rPr>
          <w:sz w:val="24"/>
        </w:rPr>
        <w:t>Demás elementos con que se</w:t>
      </w:r>
      <w:r>
        <w:rPr>
          <w:spacing w:val="-16"/>
          <w:sz w:val="24"/>
        </w:rPr>
        <w:t> </w:t>
      </w:r>
      <w:r>
        <w:rPr>
          <w:sz w:val="24"/>
        </w:rPr>
        <w:t>cuente.</w:t>
      </w:r>
    </w:p>
    <w:p>
      <w:pPr>
        <w:pStyle w:val="BodyText"/>
        <w:spacing w:before="4"/>
        <w:rPr>
          <w:sz w:val="23"/>
        </w:rPr>
      </w:pPr>
    </w:p>
    <w:p>
      <w:pPr>
        <w:spacing w:before="1"/>
        <w:ind w:left="112" w:right="0" w:firstLine="0"/>
        <w:jc w:val="both"/>
        <w:rPr>
          <w:sz w:val="24"/>
        </w:rPr>
      </w:pPr>
      <w:r>
        <w:rPr>
          <w:b/>
          <w:sz w:val="24"/>
        </w:rPr>
        <w:t>Artículo 37º. </w:t>
      </w:r>
      <w:r>
        <w:rPr>
          <w:sz w:val="24"/>
        </w:rPr>
        <w:t>Las medidas de emergencia serán:</w:t>
      </w:r>
    </w:p>
    <w:p>
      <w:pPr>
        <w:pStyle w:val="BodyText"/>
        <w:spacing w:before="5"/>
        <w:rPr>
          <w:sz w:val="38"/>
        </w:rPr>
      </w:pPr>
    </w:p>
    <w:p>
      <w:pPr>
        <w:pStyle w:val="ListParagraph"/>
        <w:numPr>
          <w:ilvl w:val="1"/>
          <w:numId w:val="12"/>
        </w:numPr>
        <w:tabs>
          <w:tab w:pos="820" w:val="left" w:leader="none"/>
          <w:tab w:pos="821" w:val="left" w:leader="none"/>
        </w:tabs>
        <w:spacing w:line="312" w:lineRule="auto" w:before="0" w:after="0"/>
        <w:ind w:left="832" w:right="116" w:hanging="495"/>
        <w:jc w:val="left"/>
        <w:rPr>
          <w:sz w:val="24"/>
        </w:rPr>
      </w:pPr>
      <w:r>
        <w:rPr>
          <w:sz w:val="24"/>
        </w:rPr>
        <w:t>De desocupación del inmueble por parte del agresor independientemente de la acreditación de propiedad o posesión del</w:t>
      </w:r>
      <w:r>
        <w:rPr>
          <w:spacing w:val="3"/>
          <w:sz w:val="24"/>
        </w:rPr>
        <w:t> </w:t>
      </w:r>
      <w:r>
        <w:rPr>
          <w:sz w:val="24"/>
        </w:rPr>
        <w:t>inmueble.</w:t>
      </w:r>
    </w:p>
    <w:p>
      <w:pPr>
        <w:pStyle w:val="ListParagraph"/>
        <w:numPr>
          <w:ilvl w:val="1"/>
          <w:numId w:val="12"/>
        </w:numPr>
        <w:tabs>
          <w:tab w:pos="820" w:val="left" w:leader="none"/>
          <w:tab w:pos="821" w:val="left" w:leader="none"/>
        </w:tabs>
        <w:spacing w:line="240" w:lineRule="auto" w:before="1" w:after="0"/>
        <w:ind w:left="820" w:right="0" w:hanging="550"/>
        <w:jc w:val="left"/>
        <w:rPr>
          <w:sz w:val="24"/>
        </w:rPr>
      </w:pPr>
      <w:r>
        <w:rPr>
          <w:sz w:val="24"/>
        </w:rPr>
        <w:t>Prohibición al probable agresor de acercarse a la</w:t>
      </w:r>
      <w:r>
        <w:rPr>
          <w:spacing w:val="-3"/>
          <w:sz w:val="24"/>
        </w:rPr>
        <w:t> </w:t>
      </w:r>
      <w:r>
        <w:rPr>
          <w:sz w:val="24"/>
        </w:rPr>
        <w:t>víctima;</w:t>
      </w:r>
    </w:p>
    <w:p>
      <w:pPr>
        <w:pStyle w:val="ListParagraph"/>
        <w:numPr>
          <w:ilvl w:val="1"/>
          <w:numId w:val="12"/>
        </w:numPr>
        <w:tabs>
          <w:tab w:pos="820" w:val="left" w:leader="none"/>
          <w:tab w:pos="821" w:val="left" w:leader="none"/>
        </w:tabs>
        <w:spacing w:line="312" w:lineRule="auto" w:before="87" w:after="0"/>
        <w:ind w:left="832" w:right="111" w:hanging="629"/>
        <w:jc w:val="left"/>
        <w:rPr>
          <w:sz w:val="24"/>
        </w:rPr>
      </w:pPr>
      <w:r>
        <w:rPr>
          <w:sz w:val="24"/>
        </w:rPr>
        <w:t>De reincorporación de la víctima al domicilio una vez que se restablezca su seguridad;</w:t>
      </w:r>
      <w:r>
        <w:rPr>
          <w:spacing w:val="-2"/>
          <w:sz w:val="24"/>
        </w:rPr>
        <w:t> </w:t>
      </w:r>
      <w:r>
        <w:rPr>
          <w:sz w:val="24"/>
        </w:rPr>
        <w:t>y</w:t>
      </w:r>
    </w:p>
    <w:p>
      <w:pPr>
        <w:pStyle w:val="ListParagraph"/>
        <w:numPr>
          <w:ilvl w:val="1"/>
          <w:numId w:val="12"/>
        </w:numPr>
        <w:tabs>
          <w:tab w:pos="820" w:val="left" w:leader="none"/>
          <w:tab w:pos="821" w:val="left" w:leader="none"/>
        </w:tabs>
        <w:spacing w:line="240" w:lineRule="auto" w:before="0" w:after="0"/>
        <w:ind w:left="820" w:right="0" w:hanging="651"/>
        <w:jc w:val="left"/>
        <w:rPr>
          <w:sz w:val="24"/>
        </w:rPr>
      </w:pPr>
      <w:r>
        <w:rPr>
          <w:sz w:val="24"/>
        </w:rPr>
        <w:t>Prohibición al agresor de intimidar o molestar a la víctima o a su</w:t>
      </w:r>
      <w:r>
        <w:rPr>
          <w:spacing w:val="-9"/>
          <w:sz w:val="24"/>
        </w:rPr>
        <w:t> </w:t>
      </w:r>
      <w:r>
        <w:rPr>
          <w:sz w:val="24"/>
        </w:rPr>
        <w:t>familia.</w:t>
      </w:r>
    </w:p>
    <w:p>
      <w:pPr>
        <w:pStyle w:val="BodyText"/>
        <w:spacing w:before="7"/>
        <w:rPr>
          <w:sz w:val="23"/>
        </w:rPr>
      </w:pPr>
    </w:p>
    <w:p>
      <w:pPr>
        <w:pStyle w:val="BodyText"/>
        <w:spacing w:line="312" w:lineRule="auto"/>
        <w:ind w:left="112" w:right="111"/>
        <w:jc w:val="both"/>
      </w:pPr>
      <w:r>
        <w:rPr>
          <w:b/>
        </w:rPr>
        <w:t>Artículo 38º. </w:t>
      </w:r>
      <w:r>
        <w:rPr/>
        <w:t>Todos los procesos deberán contar con los requisitos que señala el artículo 47 de la Ley Estatal, con la finalidad de brindar a la mujer víctima de violencia una atención adecuada a sus necesidades.</w:t>
      </w:r>
    </w:p>
    <w:p>
      <w:pPr>
        <w:pStyle w:val="BodyText"/>
        <w:spacing w:before="1"/>
        <w:rPr>
          <w:sz w:val="31"/>
        </w:rPr>
      </w:pPr>
    </w:p>
    <w:p>
      <w:pPr>
        <w:pStyle w:val="BodyText"/>
        <w:spacing w:line="312" w:lineRule="auto" w:before="1"/>
        <w:ind w:left="112" w:right="109"/>
        <w:jc w:val="both"/>
      </w:pPr>
      <w:r>
        <w:rPr>
          <w:b/>
        </w:rPr>
        <w:t>Artículo 39º. </w:t>
      </w:r>
      <w:r>
        <w:rPr/>
        <w:t>El Ayuntamiento se encargará de expedir las constancias de atención y seguimiento a que se refiere el artículo 48 de la Ley Estatal. Éstas servirán como herramienta para que la víctima los utilice como comprobante ante sus centros de trabajo y como prueba documental pública para iniciar los procesos legales a que haya lugar.</w:t>
      </w:r>
    </w:p>
    <w:p>
      <w:pPr>
        <w:pStyle w:val="BodyText"/>
        <w:rPr>
          <w:sz w:val="28"/>
        </w:rPr>
      </w:pPr>
    </w:p>
    <w:p>
      <w:pPr>
        <w:pStyle w:val="BodyText"/>
        <w:spacing w:before="5"/>
        <w:rPr>
          <w:sz w:val="34"/>
        </w:rPr>
      </w:pPr>
    </w:p>
    <w:p>
      <w:pPr>
        <w:pStyle w:val="Heading1"/>
      </w:pPr>
      <w:bookmarkStart w:name="_TOC_250007" w:id="14"/>
      <w:bookmarkEnd w:id="14"/>
      <w:r>
        <w:rPr/>
        <w:t>SECCIÓN SEXTA</w:t>
      </w:r>
    </w:p>
    <w:p>
      <w:pPr>
        <w:spacing w:line="312" w:lineRule="auto" w:before="87"/>
        <w:ind w:left="292" w:right="293" w:firstLine="0"/>
        <w:jc w:val="center"/>
        <w:rPr>
          <w:b/>
          <w:sz w:val="24"/>
        </w:rPr>
      </w:pPr>
      <w:r>
        <w:rPr>
          <w:b/>
          <w:sz w:val="24"/>
        </w:rPr>
        <w:t>DE LA CELEBRACIÓN DE CONVENIOS CON DEPENDENCIAS PÚBLICAS Y PRIVADAS DE CONVENIOS DE COLABORACIÓN, COORDINACIÓN</w:t>
      </w:r>
    </w:p>
    <w:p>
      <w:pPr>
        <w:spacing w:before="1"/>
        <w:ind w:left="1730" w:right="1730" w:firstLine="0"/>
        <w:jc w:val="center"/>
        <w:rPr>
          <w:b/>
          <w:sz w:val="24"/>
        </w:rPr>
      </w:pPr>
      <w:r>
        <w:rPr>
          <w:b/>
          <w:sz w:val="24"/>
        </w:rPr>
        <w:t>Y CONCERTACIÓN EN LA MATERIA</w:t>
      </w:r>
    </w:p>
    <w:p>
      <w:pPr>
        <w:spacing w:after="0"/>
        <w:jc w:val="center"/>
        <w:rPr>
          <w:sz w:val="24"/>
        </w:rPr>
        <w:sectPr>
          <w:pgSz w:w="12250" w:h="15850"/>
          <w:pgMar w:header="0" w:footer="1060" w:top="1060" w:bottom="1260" w:left="1020" w:right="1020"/>
        </w:sectPr>
      </w:pPr>
    </w:p>
    <w:p>
      <w:pPr>
        <w:pStyle w:val="BodyText"/>
        <w:spacing w:line="312" w:lineRule="auto" w:before="73"/>
        <w:ind w:left="112" w:right="112"/>
        <w:jc w:val="both"/>
      </w:pPr>
      <w:r>
        <w:rPr>
          <w:b/>
        </w:rPr>
        <w:t>Artículo 40º. </w:t>
      </w:r>
      <w:r>
        <w:rPr/>
        <w:t>El ayuntamiento podrá celebrar convenios de cooperación, coordinación y concertación, para establecer acciones encaminadas a prevenir, combatir y erradicar la violencia hacia las mujeres.</w:t>
      </w:r>
    </w:p>
    <w:p>
      <w:pPr>
        <w:pStyle w:val="BodyText"/>
        <w:spacing w:before="4"/>
        <w:rPr>
          <w:sz w:val="31"/>
        </w:rPr>
      </w:pPr>
    </w:p>
    <w:p>
      <w:pPr>
        <w:pStyle w:val="BodyText"/>
        <w:spacing w:line="312" w:lineRule="auto"/>
        <w:ind w:left="112" w:right="110"/>
        <w:jc w:val="both"/>
      </w:pPr>
      <w:r>
        <w:rPr/>
        <w:t>Dichos convenios deberán ser compatibles con los principios rectores y sujetarse a los fines del Programa Estatal y deberán ser firmados por la Presidencia, Secretaría General y la Sindicatura del Ayuntamiento.</w:t>
      </w:r>
    </w:p>
    <w:p>
      <w:pPr>
        <w:pStyle w:val="BodyText"/>
        <w:spacing w:before="3"/>
        <w:rPr>
          <w:sz w:val="31"/>
        </w:rPr>
      </w:pPr>
    </w:p>
    <w:p>
      <w:pPr>
        <w:pStyle w:val="BodyText"/>
        <w:spacing w:line="312" w:lineRule="auto" w:before="1"/>
        <w:ind w:left="112" w:right="111"/>
        <w:jc w:val="both"/>
      </w:pPr>
      <w:r>
        <w:rPr>
          <w:b/>
        </w:rPr>
        <w:t>Artículo 41º. </w:t>
      </w:r>
      <w:r>
        <w:rPr/>
        <w:t>Con la finalidad de brindar la atención adecuada a las mujeres víctimas de violencia, el ayuntamiento podrá celebrar convenios con instituciones públicas o privadas, relativos a la prestación de servicios médicos, psicológicos y jurídicos.</w:t>
      </w:r>
    </w:p>
    <w:p>
      <w:pPr>
        <w:pStyle w:val="BodyText"/>
        <w:rPr>
          <w:sz w:val="31"/>
        </w:rPr>
      </w:pPr>
    </w:p>
    <w:p>
      <w:pPr>
        <w:pStyle w:val="BodyText"/>
        <w:spacing w:line="312" w:lineRule="auto" w:before="1"/>
        <w:ind w:left="112" w:right="114"/>
        <w:jc w:val="both"/>
      </w:pPr>
      <w:r>
        <w:rPr>
          <w:b/>
        </w:rPr>
        <w:t>Artículo 42º. </w:t>
      </w:r>
      <w:r>
        <w:rPr/>
        <w:t>En los informes anuales que deberán ser presentados por el ayuntamiento al Instituto, se deberá incluir la información relativa a los convenios celebrados con base en este apartado.</w:t>
      </w:r>
    </w:p>
    <w:p>
      <w:pPr>
        <w:pStyle w:val="BodyText"/>
        <w:spacing w:before="3"/>
        <w:rPr>
          <w:sz w:val="31"/>
        </w:rPr>
      </w:pPr>
    </w:p>
    <w:p>
      <w:pPr>
        <w:pStyle w:val="Heading1"/>
      </w:pPr>
      <w:bookmarkStart w:name="_TOC_250006" w:id="15"/>
      <w:bookmarkEnd w:id="15"/>
      <w:r>
        <w:rPr/>
        <w:t>CAPÍTULO III</w:t>
      </w:r>
    </w:p>
    <w:p>
      <w:pPr>
        <w:pStyle w:val="Heading1"/>
        <w:spacing w:line="312" w:lineRule="auto" w:before="87"/>
        <w:ind w:left="292" w:right="293"/>
      </w:pPr>
      <w:bookmarkStart w:name="_TOC_250005" w:id="16"/>
      <w:bookmarkEnd w:id="16"/>
      <w:r>
        <w:rPr/>
        <w:t>MECANISMOS INTERNOS PARA LA DENUNCIA DEL PERSONAL QUE INCURRA EN VIOLENCIA INSTITUCIONAL Y LABORAL</w:t>
      </w:r>
    </w:p>
    <w:p>
      <w:pPr>
        <w:pStyle w:val="BodyText"/>
        <w:spacing w:before="2"/>
        <w:rPr>
          <w:b/>
          <w:sz w:val="31"/>
        </w:rPr>
      </w:pPr>
    </w:p>
    <w:p>
      <w:pPr>
        <w:pStyle w:val="BodyText"/>
        <w:spacing w:line="312" w:lineRule="auto" w:before="1"/>
        <w:ind w:left="112" w:right="110"/>
        <w:jc w:val="both"/>
      </w:pPr>
      <w:r>
        <w:rPr>
          <w:b/>
        </w:rPr>
        <w:t>Artículo 43º. </w:t>
      </w:r>
      <w:r>
        <w:rPr/>
        <w:t>Todas las dependencias del ayuntamiento deberán contar con mecanismos internos para la denuncia del personal que incurra en violencia institucional y laboral contra las mujeres, y difundir la información relativa a los  mismos entre su</w:t>
      </w:r>
      <w:r>
        <w:rPr>
          <w:spacing w:val="-2"/>
        </w:rPr>
        <w:t> </w:t>
      </w:r>
      <w:r>
        <w:rPr/>
        <w:t>personal.</w:t>
      </w:r>
    </w:p>
    <w:p>
      <w:pPr>
        <w:pStyle w:val="BodyText"/>
        <w:spacing w:before="2"/>
        <w:rPr>
          <w:sz w:val="31"/>
        </w:rPr>
      </w:pPr>
    </w:p>
    <w:p>
      <w:pPr>
        <w:pStyle w:val="BodyText"/>
        <w:spacing w:line="312" w:lineRule="auto"/>
        <w:ind w:left="112" w:right="111"/>
        <w:jc w:val="both"/>
      </w:pPr>
      <w:r>
        <w:rPr>
          <w:b/>
        </w:rPr>
        <w:t>Artículo 44º. </w:t>
      </w:r>
      <w:r>
        <w:rPr/>
        <w:t>El ayuntamiento deberá impulsar la perspectiva de género al interior de las Dependencias, fomentando la equidad dentro de las mismas.</w:t>
      </w:r>
    </w:p>
    <w:p>
      <w:pPr>
        <w:pStyle w:val="BodyText"/>
        <w:spacing w:before="2"/>
        <w:rPr>
          <w:sz w:val="31"/>
        </w:rPr>
      </w:pPr>
    </w:p>
    <w:p>
      <w:pPr>
        <w:pStyle w:val="BodyText"/>
        <w:spacing w:line="312" w:lineRule="auto"/>
        <w:ind w:left="112" w:right="110"/>
        <w:jc w:val="both"/>
      </w:pPr>
      <w:r>
        <w:rPr>
          <w:b/>
        </w:rPr>
        <w:t>Artículo 45º. </w:t>
      </w:r>
      <w:r>
        <w:rPr/>
        <w:t>El ayuntamiento será responsable de capacitar a todo su personal en temas relacionados con:</w:t>
      </w:r>
    </w:p>
    <w:p>
      <w:pPr>
        <w:pStyle w:val="BodyText"/>
        <w:spacing w:before="4"/>
        <w:rPr>
          <w:sz w:val="31"/>
        </w:rPr>
      </w:pPr>
    </w:p>
    <w:p>
      <w:pPr>
        <w:pStyle w:val="ListParagraph"/>
        <w:numPr>
          <w:ilvl w:val="0"/>
          <w:numId w:val="13"/>
        </w:numPr>
        <w:tabs>
          <w:tab w:pos="820" w:val="left" w:leader="none"/>
          <w:tab w:pos="821" w:val="left" w:leader="none"/>
        </w:tabs>
        <w:spacing w:line="240" w:lineRule="auto" w:before="1" w:after="0"/>
        <w:ind w:left="820" w:right="0" w:hanging="483"/>
        <w:jc w:val="left"/>
        <w:rPr>
          <w:sz w:val="24"/>
        </w:rPr>
      </w:pPr>
      <w:r>
        <w:rPr>
          <w:sz w:val="24"/>
        </w:rPr>
        <w:t>La prevención y atención oportuna a las mujeres víctimas de</w:t>
      </w:r>
      <w:r>
        <w:rPr>
          <w:spacing w:val="-12"/>
          <w:sz w:val="24"/>
        </w:rPr>
        <w:t> </w:t>
      </w:r>
      <w:r>
        <w:rPr>
          <w:sz w:val="24"/>
        </w:rPr>
        <w:t>violencia;</w:t>
      </w:r>
    </w:p>
    <w:p>
      <w:pPr>
        <w:pStyle w:val="ListParagraph"/>
        <w:numPr>
          <w:ilvl w:val="0"/>
          <w:numId w:val="13"/>
        </w:numPr>
        <w:tabs>
          <w:tab w:pos="820" w:val="left" w:leader="none"/>
          <w:tab w:pos="821" w:val="left" w:leader="none"/>
        </w:tabs>
        <w:spacing w:line="312" w:lineRule="auto" w:before="87" w:after="0"/>
        <w:ind w:left="832" w:right="111" w:hanging="562"/>
        <w:jc w:val="left"/>
        <w:rPr>
          <w:sz w:val="24"/>
        </w:rPr>
      </w:pPr>
      <w:r>
        <w:rPr>
          <w:sz w:val="24"/>
        </w:rPr>
        <w:t>Las políticas orientadas a prevenir, atender y erradicar la violencia contra las mujeres;</w:t>
      </w:r>
    </w:p>
    <w:p>
      <w:pPr>
        <w:pStyle w:val="ListParagraph"/>
        <w:numPr>
          <w:ilvl w:val="0"/>
          <w:numId w:val="13"/>
        </w:numPr>
        <w:tabs>
          <w:tab w:pos="820" w:val="left" w:leader="none"/>
          <w:tab w:pos="821" w:val="left" w:leader="none"/>
        </w:tabs>
        <w:spacing w:line="240" w:lineRule="auto" w:before="0" w:after="0"/>
        <w:ind w:left="820" w:right="0" w:hanging="618"/>
        <w:jc w:val="left"/>
        <w:rPr>
          <w:sz w:val="24"/>
        </w:rPr>
      </w:pPr>
      <w:r>
        <w:rPr>
          <w:sz w:val="24"/>
        </w:rPr>
        <w:t>La no discriminación de las mujeres y el respeto irrestricto hacia sus derechos;</w:t>
      </w:r>
      <w:r>
        <w:rPr>
          <w:spacing w:val="-23"/>
          <w:sz w:val="24"/>
        </w:rPr>
        <w:t> </w:t>
      </w:r>
      <w:r>
        <w:rPr>
          <w:sz w:val="24"/>
        </w:rPr>
        <w:t>y</w:t>
      </w:r>
    </w:p>
    <w:p>
      <w:pPr>
        <w:spacing w:after="0" w:line="240" w:lineRule="auto"/>
        <w:jc w:val="left"/>
        <w:rPr>
          <w:sz w:val="24"/>
        </w:rPr>
        <w:sectPr>
          <w:pgSz w:w="12250" w:h="15850"/>
          <w:pgMar w:header="0" w:footer="1060" w:top="1060" w:bottom="1260" w:left="1020" w:right="1020"/>
        </w:sectPr>
      </w:pPr>
    </w:p>
    <w:p>
      <w:pPr>
        <w:pStyle w:val="ListParagraph"/>
        <w:numPr>
          <w:ilvl w:val="0"/>
          <w:numId w:val="13"/>
        </w:numPr>
        <w:tabs>
          <w:tab w:pos="820" w:val="left" w:leader="none"/>
          <w:tab w:pos="821" w:val="left" w:leader="none"/>
        </w:tabs>
        <w:spacing w:line="312" w:lineRule="auto" w:before="73" w:after="0"/>
        <w:ind w:left="832" w:right="111" w:hanging="663"/>
        <w:jc w:val="left"/>
        <w:rPr>
          <w:sz w:val="24"/>
        </w:rPr>
      </w:pPr>
      <w:r>
        <w:rPr>
          <w:sz w:val="24"/>
        </w:rPr>
        <w:t>Cualquier otro enfocado a fomentar el equilibrio y sensibilizar al personal en temas relacionados con la igualdad y una vida libre de</w:t>
      </w:r>
      <w:r>
        <w:rPr>
          <w:spacing w:val="-15"/>
          <w:sz w:val="24"/>
        </w:rPr>
        <w:t> </w:t>
      </w:r>
      <w:r>
        <w:rPr>
          <w:sz w:val="24"/>
        </w:rPr>
        <w:t>violencia.</w:t>
      </w:r>
    </w:p>
    <w:p>
      <w:pPr>
        <w:pStyle w:val="BodyText"/>
        <w:spacing w:line="312" w:lineRule="auto" w:before="203"/>
        <w:ind w:left="112" w:right="111"/>
        <w:jc w:val="both"/>
      </w:pPr>
      <w:r>
        <w:rPr/>
        <w:t>La capacitación será obligatoria para el personal y tendrá por objeto la equidad de género y la erradicación de la violencia contra la mujer.</w:t>
      </w:r>
    </w:p>
    <w:p>
      <w:pPr>
        <w:pStyle w:val="BodyText"/>
        <w:spacing w:before="1"/>
        <w:rPr>
          <w:sz w:val="31"/>
        </w:rPr>
      </w:pPr>
    </w:p>
    <w:p>
      <w:pPr>
        <w:pStyle w:val="BodyText"/>
        <w:spacing w:line="312" w:lineRule="auto" w:before="1"/>
        <w:ind w:left="112" w:right="112"/>
        <w:jc w:val="both"/>
      </w:pPr>
      <w:r>
        <w:rPr>
          <w:b/>
        </w:rPr>
        <w:t>Artículo 46º. </w:t>
      </w:r>
      <w:r>
        <w:rPr/>
        <w:t>El ayuntamiento deberá recibir las quejas relacionadas con violencia institucional y laboral a través de la instancia Municipal de la Mujer.</w:t>
      </w:r>
    </w:p>
    <w:p>
      <w:pPr>
        <w:pStyle w:val="BodyText"/>
        <w:spacing w:before="2"/>
        <w:rPr>
          <w:sz w:val="31"/>
        </w:rPr>
      </w:pPr>
    </w:p>
    <w:p>
      <w:pPr>
        <w:pStyle w:val="BodyText"/>
        <w:spacing w:line="312" w:lineRule="auto"/>
        <w:ind w:left="112" w:right="112"/>
        <w:jc w:val="both"/>
      </w:pPr>
      <w:r>
        <w:rPr/>
        <w:t>La queja deberá ser atendida dentro de las siguientes 24 horas a su presentación y se iniciará la investigación</w:t>
      </w:r>
      <w:r>
        <w:rPr>
          <w:spacing w:val="-4"/>
        </w:rPr>
        <w:t> </w:t>
      </w:r>
      <w:r>
        <w:rPr/>
        <w:t>correspondiente.</w:t>
      </w:r>
    </w:p>
    <w:p>
      <w:pPr>
        <w:pStyle w:val="BodyText"/>
        <w:spacing w:before="2"/>
        <w:rPr>
          <w:sz w:val="31"/>
        </w:rPr>
      </w:pPr>
    </w:p>
    <w:p>
      <w:pPr>
        <w:pStyle w:val="BodyText"/>
        <w:spacing w:line="312" w:lineRule="auto"/>
        <w:ind w:left="112" w:right="111"/>
        <w:jc w:val="both"/>
      </w:pPr>
      <w:r>
        <w:rPr>
          <w:b/>
        </w:rPr>
        <w:t>Artículo 47º. </w:t>
      </w:r>
      <w:r>
        <w:rPr/>
        <w:t>El ayuntamiento deberá de orientar a la mujer víctima de violencia,  para que ésta acuda al Ministerio Público correspondiente, con el objetivo de iniciar las acciones legales a que haya</w:t>
      </w:r>
      <w:r>
        <w:rPr>
          <w:spacing w:val="-4"/>
        </w:rPr>
        <w:t> </w:t>
      </w:r>
      <w:r>
        <w:rPr/>
        <w:t>lugar.</w:t>
      </w:r>
    </w:p>
    <w:p>
      <w:pPr>
        <w:pStyle w:val="BodyText"/>
        <w:spacing w:before="3"/>
        <w:rPr>
          <w:sz w:val="31"/>
        </w:rPr>
      </w:pPr>
    </w:p>
    <w:p>
      <w:pPr>
        <w:pStyle w:val="Heading1"/>
      </w:pPr>
      <w:bookmarkStart w:name="_TOC_250004" w:id="17"/>
      <w:bookmarkEnd w:id="17"/>
      <w:r>
        <w:rPr/>
        <w:t>CAPÍTULO IV</w:t>
      </w:r>
    </w:p>
    <w:p>
      <w:pPr>
        <w:pStyle w:val="Heading1"/>
        <w:spacing w:line="312" w:lineRule="auto" w:before="88"/>
        <w:ind w:left="972" w:right="972"/>
      </w:pPr>
      <w:bookmarkStart w:name="_TOC_250003" w:id="18"/>
      <w:bookmarkEnd w:id="18"/>
      <w:r>
        <w:rPr/>
        <w:t>DE LA COLABORACIÓN DEL BANCO ESTATAL DE DATOS E INFORMACIÓN SOBRE CASOS DE VIOLENCIA CONTRA LAS MUJERES</w:t>
      </w:r>
    </w:p>
    <w:p>
      <w:pPr>
        <w:pStyle w:val="BodyText"/>
        <w:spacing w:before="1"/>
        <w:rPr>
          <w:b/>
          <w:sz w:val="31"/>
        </w:rPr>
      </w:pPr>
    </w:p>
    <w:p>
      <w:pPr>
        <w:pStyle w:val="BodyText"/>
        <w:spacing w:line="312" w:lineRule="auto" w:before="1"/>
        <w:ind w:left="112" w:right="113"/>
        <w:jc w:val="both"/>
      </w:pPr>
      <w:r>
        <w:rPr>
          <w:b/>
        </w:rPr>
        <w:t>Artículo 48º. </w:t>
      </w:r>
      <w:r>
        <w:rPr/>
        <w:t>El municipio deberá colaborar con la actualización de la información del Banco Estatal, de manera permanente, con el objeto de registrar las causas, características, riesgos, consecuencia y frecuencia de la violencia contra las mujeres en sus distintas manifestaciones, así como, sobre la eficacia de las medidas adoptadas para atenderla prevenirla y</w:t>
      </w:r>
      <w:r>
        <w:rPr>
          <w:spacing w:val="-5"/>
        </w:rPr>
        <w:t> </w:t>
      </w:r>
      <w:r>
        <w:rPr/>
        <w:t>combatirla.</w:t>
      </w:r>
    </w:p>
    <w:p>
      <w:pPr>
        <w:pStyle w:val="BodyText"/>
        <w:spacing w:before="4"/>
        <w:rPr>
          <w:sz w:val="31"/>
        </w:rPr>
      </w:pPr>
    </w:p>
    <w:p>
      <w:pPr>
        <w:pStyle w:val="BodyText"/>
        <w:spacing w:line="312" w:lineRule="auto"/>
        <w:ind w:left="112" w:right="113"/>
        <w:jc w:val="both"/>
      </w:pPr>
      <w:r>
        <w:rPr>
          <w:b/>
        </w:rPr>
        <w:t>Artículo 49º. </w:t>
      </w:r>
      <w:r>
        <w:rPr/>
        <w:t>El contenido de la Base de Datos se apegará a los requerimientos establecidos para tal efecto por la Secretaría de Seguridad Pública, Prevención y Readaptación Social del Estado, dependencia responsable para tal efecto de conformidad con lo dispuesto por la Ley Estatal.</w:t>
      </w:r>
    </w:p>
    <w:p>
      <w:pPr>
        <w:pStyle w:val="BodyText"/>
        <w:spacing w:before="2"/>
        <w:rPr>
          <w:sz w:val="31"/>
        </w:rPr>
      </w:pPr>
    </w:p>
    <w:p>
      <w:pPr>
        <w:pStyle w:val="BodyText"/>
        <w:spacing w:line="312" w:lineRule="auto"/>
        <w:ind w:left="112" w:right="110"/>
        <w:jc w:val="both"/>
      </w:pPr>
      <w:r>
        <w:rPr>
          <w:b/>
        </w:rPr>
        <w:t>Artículo 50º. </w:t>
      </w:r>
      <w:r>
        <w:rPr/>
        <w:t>La Instancia Municipal de la Mujer, será la encargada de integrar la información para el apoyo del Banco de Datos, debiendo proporcionar bimestralmente los registros capturados, con la finalidad de mantener actualizado el Banco Estatal.</w:t>
      </w:r>
    </w:p>
    <w:p>
      <w:pPr>
        <w:spacing w:after="0" w:line="312" w:lineRule="auto"/>
        <w:jc w:val="both"/>
        <w:sectPr>
          <w:pgSz w:w="12250" w:h="15850"/>
          <w:pgMar w:header="0" w:footer="1060" w:top="1060" w:bottom="1260" w:left="1020" w:right="1020"/>
        </w:sectPr>
      </w:pPr>
    </w:p>
    <w:p>
      <w:pPr>
        <w:pStyle w:val="Heading1"/>
        <w:spacing w:before="77"/>
      </w:pPr>
      <w:r>
        <w:rPr/>
        <w:t>CAPITULO V</w:t>
      </w:r>
    </w:p>
    <w:p>
      <w:pPr>
        <w:pStyle w:val="Heading1"/>
        <w:spacing w:before="88"/>
      </w:pPr>
      <w:bookmarkStart w:name="_TOC_250002" w:id="19"/>
      <w:bookmarkEnd w:id="19"/>
      <w:r>
        <w:rPr/>
        <w:t>OBLIGACIONES DE LOS REPRESENTANTES MUNICIPALES</w:t>
      </w:r>
    </w:p>
    <w:p>
      <w:pPr>
        <w:pStyle w:val="BodyText"/>
        <w:spacing w:before="5"/>
        <w:rPr>
          <w:b/>
          <w:sz w:val="38"/>
        </w:rPr>
      </w:pPr>
    </w:p>
    <w:p>
      <w:pPr>
        <w:pStyle w:val="BodyText"/>
        <w:spacing w:line="312" w:lineRule="auto"/>
        <w:ind w:left="112" w:right="111"/>
        <w:jc w:val="both"/>
      </w:pPr>
      <w:r>
        <w:rPr>
          <w:b/>
        </w:rPr>
        <w:t>Artículo 51º. </w:t>
      </w:r>
      <w:r>
        <w:rPr/>
        <w:t>En caso de que el municipio sea representante de una región administrativa en el Consejo Estatal, deberá informar por escrito a los demás municipios que la conforman, sobre las decisiones y lineamientos que se determinen con la finalidad de cumplir con el Programa Estatal.</w:t>
      </w:r>
    </w:p>
    <w:p>
      <w:pPr>
        <w:pStyle w:val="BodyText"/>
        <w:spacing w:before="3"/>
        <w:rPr>
          <w:sz w:val="31"/>
        </w:rPr>
      </w:pPr>
    </w:p>
    <w:p>
      <w:pPr>
        <w:pStyle w:val="BodyText"/>
        <w:spacing w:line="312" w:lineRule="auto"/>
        <w:ind w:left="112" w:right="115"/>
        <w:jc w:val="both"/>
      </w:pPr>
      <w:r>
        <w:rPr>
          <w:b/>
        </w:rPr>
        <w:t>Artículo 52º. </w:t>
      </w:r>
      <w:r>
        <w:rPr/>
        <w:t>El municipio representante de su región administrativa, deberá presentar las sugerencias e inquietudes de sus integrantes, frente al Consejo Estatal.</w:t>
      </w:r>
    </w:p>
    <w:p>
      <w:pPr>
        <w:pStyle w:val="BodyText"/>
        <w:spacing w:before="2"/>
        <w:rPr>
          <w:sz w:val="31"/>
        </w:rPr>
      </w:pPr>
    </w:p>
    <w:p>
      <w:pPr>
        <w:pStyle w:val="BodyText"/>
        <w:spacing w:line="312" w:lineRule="auto"/>
        <w:ind w:left="112" w:right="112"/>
        <w:jc w:val="both"/>
      </w:pPr>
      <w:r>
        <w:rPr/>
        <w:t>Una vez que el Consejo Estatal elabore el criterio correspondiente, el municipio representante tendrá la obligación de comunicar al municipio representado la información en un plazo no mayor a 5 días hábiles a su determinación.</w:t>
      </w:r>
    </w:p>
    <w:p>
      <w:pPr>
        <w:pStyle w:val="BodyText"/>
        <w:spacing w:before="3"/>
        <w:rPr>
          <w:sz w:val="31"/>
        </w:rPr>
      </w:pPr>
    </w:p>
    <w:p>
      <w:pPr>
        <w:pStyle w:val="BodyText"/>
        <w:spacing w:line="312" w:lineRule="auto"/>
        <w:ind w:left="112" w:right="111"/>
        <w:jc w:val="both"/>
      </w:pPr>
      <w:r>
        <w:rPr>
          <w:b/>
        </w:rPr>
        <w:t>Artículo 53º. </w:t>
      </w:r>
      <w:r>
        <w:rPr/>
        <w:t>El municipio representante deberá recabar los informes anuales de su zona administrativa y deberá presentarlos al Instituto.</w:t>
      </w:r>
    </w:p>
    <w:p>
      <w:pPr>
        <w:pStyle w:val="BodyText"/>
        <w:spacing w:before="2"/>
        <w:rPr>
          <w:sz w:val="31"/>
        </w:rPr>
      </w:pPr>
    </w:p>
    <w:p>
      <w:pPr>
        <w:pStyle w:val="Heading1"/>
        <w:spacing w:line="312" w:lineRule="auto"/>
        <w:ind w:left="4384" w:right="4385"/>
      </w:pPr>
      <w:bookmarkStart w:name="_TOC_250001" w:id="20"/>
      <w:bookmarkEnd w:id="20"/>
      <w:r>
        <w:rPr/>
        <w:t>CAPÍTULO VI SANCIONES</w:t>
      </w:r>
    </w:p>
    <w:p>
      <w:pPr>
        <w:pStyle w:val="BodyText"/>
        <w:spacing w:before="2"/>
        <w:rPr>
          <w:b/>
          <w:sz w:val="31"/>
        </w:rPr>
      </w:pPr>
    </w:p>
    <w:p>
      <w:pPr>
        <w:pStyle w:val="BodyText"/>
        <w:spacing w:line="312" w:lineRule="auto"/>
        <w:ind w:left="112" w:right="110"/>
        <w:jc w:val="both"/>
      </w:pPr>
      <w:r>
        <w:rPr>
          <w:b/>
        </w:rPr>
        <w:t>Artículo 54º</w:t>
      </w:r>
      <w:r>
        <w:rPr/>
        <w:t>. Los funcionarios, servidores públicos o cualquier otra persona que incumpla o interfiera en el cumplimiento de lo dispuesto en el presente reglamento, serán sancionados conforme a lo señalado en la Ley de Responsabilidades de los Servidores Públicos del Estado y de los Municipios, así como por lo establecido en la legislación penal aplicable.</w:t>
      </w:r>
    </w:p>
    <w:p>
      <w:pPr>
        <w:pStyle w:val="BodyText"/>
        <w:spacing w:before="2"/>
        <w:rPr>
          <w:sz w:val="31"/>
        </w:rPr>
      </w:pPr>
    </w:p>
    <w:p>
      <w:pPr>
        <w:pStyle w:val="BodyText"/>
        <w:spacing w:line="312" w:lineRule="auto"/>
        <w:ind w:left="112" w:right="110"/>
        <w:jc w:val="both"/>
      </w:pPr>
      <w:r>
        <w:rPr>
          <w:b/>
        </w:rPr>
        <w:t>Artículo 55º. </w:t>
      </w:r>
      <w:r>
        <w:rPr/>
        <w:t>Las personas que se consideren afectadas por los actos derivados de la aplicación de este reglamento, podrán recurrirlos en los términos de ley.</w:t>
      </w:r>
    </w:p>
    <w:p>
      <w:pPr>
        <w:pStyle w:val="BodyText"/>
        <w:spacing w:before="4"/>
        <w:rPr>
          <w:sz w:val="31"/>
        </w:rPr>
      </w:pPr>
    </w:p>
    <w:p>
      <w:pPr>
        <w:pStyle w:val="Heading1"/>
        <w:spacing w:before="1"/>
      </w:pPr>
      <w:bookmarkStart w:name="_TOC_250000" w:id="21"/>
      <w:bookmarkEnd w:id="21"/>
      <w:r>
        <w:rPr/>
        <w:t>TRANSITORIOS</w:t>
      </w:r>
    </w:p>
    <w:p>
      <w:pPr>
        <w:pStyle w:val="BodyText"/>
        <w:spacing w:before="2"/>
        <w:rPr>
          <w:b/>
          <w:sz w:val="38"/>
        </w:rPr>
      </w:pPr>
    </w:p>
    <w:p>
      <w:pPr>
        <w:pStyle w:val="BodyText"/>
        <w:spacing w:line="312" w:lineRule="auto" w:before="1"/>
        <w:ind w:left="112" w:right="113"/>
        <w:jc w:val="both"/>
      </w:pPr>
      <w:r>
        <w:rPr>
          <w:b/>
        </w:rPr>
        <w:t>PRIMERO. </w:t>
      </w:r>
      <w:r>
        <w:rPr/>
        <w:t>El presente reglamento entrará en vigor al día siguiente de su publicación en la gaceta municipal.</w:t>
      </w:r>
    </w:p>
    <w:sectPr>
      <w:pgSz w:w="12250" w:h="15850"/>
      <w:pgMar w:header="0" w:footer="1060" w:top="1440" w:bottom="126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Bright">
    <w:altName w:val="Lucida Bright"/>
    <w:charset w:val="0"/>
    <w:family w:val="roman"/>
    <w:pitch w:val="variable"/>
  </w:font>
  <w:font w:name="Century Gothic">
    <w:altName w:val="Century Gothic"/>
    <w:charset w:val="0"/>
    <w:family w:val="swiss"/>
    <w:pitch w:val="variable"/>
  </w:font>
  <w:font w:name="Eras Bold ITC">
    <w:altName w:val="Eras Bold ITC"/>
    <w:charset w:val="0"/>
    <w:family w:val="swiss"/>
    <w:pitch w:val="variable"/>
  </w:font>
  <w:font w:name="Lucida Calligraphy">
    <w:altName w:val="Lucida Calligraphy"/>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1.359985pt;margin-top:728.106628pt;width:16pt;height:15.3pt;mso-position-horizontal-relative:page;mso-position-vertical-relative:page;z-index:-252158976" type="#_x0000_t202" filled="false" stroked="false">
          <v:textbox inset="0,0,0,0">
            <w:txbxContent>
              <w:p>
                <w:pPr>
                  <w:pStyle w:val="BodyText"/>
                  <w:spacing w:before="10"/>
                  <w:ind w:left="40"/>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upperRoman"/>
      <w:lvlText w:val="%1."/>
      <w:lvlJc w:val="left"/>
      <w:pPr>
        <w:ind w:left="820" w:hanging="483"/>
        <w:jc w:val="right"/>
      </w:pPr>
      <w:rPr>
        <w:rFonts w:hint="default" w:ascii="Century Gothic" w:hAnsi="Century Gothic" w:eastAsia="Century Gothic" w:cs="Century Gothic"/>
        <w:b/>
        <w:bCs/>
        <w:spacing w:val="-5"/>
        <w:w w:val="99"/>
        <w:sz w:val="24"/>
        <w:szCs w:val="24"/>
        <w:lang w:val="es-ES" w:eastAsia="es-ES" w:bidi="es-ES"/>
      </w:rPr>
    </w:lvl>
    <w:lvl w:ilvl="1">
      <w:start w:val="0"/>
      <w:numFmt w:val="bullet"/>
      <w:lvlText w:val="•"/>
      <w:lvlJc w:val="left"/>
      <w:pPr>
        <w:ind w:left="1758" w:hanging="483"/>
      </w:pPr>
      <w:rPr>
        <w:rFonts w:hint="default"/>
        <w:lang w:val="es-ES" w:eastAsia="es-ES" w:bidi="es-ES"/>
      </w:rPr>
    </w:lvl>
    <w:lvl w:ilvl="2">
      <w:start w:val="0"/>
      <w:numFmt w:val="bullet"/>
      <w:lvlText w:val="•"/>
      <w:lvlJc w:val="left"/>
      <w:pPr>
        <w:ind w:left="2696" w:hanging="483"/>
      </w:pPr>
      <w:rPr>
        <w:rFonts w:hint="default"/>
        <w:lang w:val="es-ES" w:eastAsia="es-ES" w:bidi="es-ES"/>
      </w:rPr>
    </w:lvl>
    <w:lvl w:ilvl="3">
      <w:start w:val="0"/>
      <w:numFmt w:val="bullet"/>
      <w:lvlText w:val="•"/>
      <w:lvlJc w:val="left"/>
      <w:pPr>
        <w:ind w:left="3634" w:hanging="483"/>
      </w:pPr>
      <w:rPr>
        <w:rFonts w:hint="default"/>
        <w:lang w:val="es-ES" w:eastAsia="es-ES" w:bidi="es-ES"/>
      </w:rPr>
    </w:lvl>
    <w:lvl w:ilvl="4">
      <w:start w:val="0"/>
      <w:numFmt w:val="bullet"/>
      <w:lvlText w:val="•"/>
      <w:lvlJc w:val="left"/>
      <w:pPr>
        <w:ind w:left="4572" w:hanging="483"/>
      </w:pPr>
      <w:rPr>
        <w:rFonts w:hint="default"/>
        <w:lang w:val="es-ES" w:eastAsia="es-ES" w:bidi="es-ES"/>
      </w:rPr>
    </w:lvl>
    <w:lvl w:ilvl="5">
      <w:start w:val="0"/>
      <w:numFmt w:val="bullet"/>
      <w:lvlText w:val="•"/>
      <w:lvlJc w:val="left"/>
      <w:pPr>
        <w:ind w:left="5511" w:hanging="483"/>
      </w:pPr>
      <w:rPr>
        <w:rFonts w:hint="default"/>
        <w:lang w:val="es-ES" w:eastAsia="es-ES" w:bidi="es-ES"/>
      </w:rPr>
    </w:lvl>
    <w:lvl w:ilvl="6">
      <w:start w:val="0"/>
      <w:numFmt w:val="bullet"/>
      <w:lvlText w:val="•"/>
      <w:lvlJc w:val="left"/>
      <w:pPr>
        <w:ind w:left="6449" w:hanging="483"/>
      </w:pPr>
      <w:rPr>
        <w:rFonts w:hint="default"/>
        <w:lang w:val="es-ES" w:eastAsia="es-ES" w:bidi="es-ES"/>
      </w:rPr>
    </w:lvl>
    <w:lvl w:ilvl="7">
      <w:start w:val="0"/>
      <w:numFmt w:val="bullet"/>
      <w:lvlText w:val="•"/>
      <w:lvlJc w:val="left"/>
      <w:pPr>
        <w:ind w:left="7387" w:hanging="483"/>
      </w:pPr>
      <w:rPr>
        <w:rFonts w:hint="default"/>
        <w:lang w:val="es-ES" w:eastAsia="es-ES" w:bidi="es-ES"/>
      </w:rPr>
    </w:lvl>
    <w:lvl w:ilvl="8">
      <w:start w:val="0"/>
      <w:numFmt w:val="bullet"/>
      <w:lvlText w:val="•"/>
      <w:lvlJc w:val="left"/>
      <w:pPr>
        <w:ind w:left="8325" w:hanging="483"/>
      </w:pPr>
      <w:rPr>
        <w:rFonts w:hint="default"/>
        <w:lang w:val="es-ES" w:eastAsia="es-ES" w:bidi="es-ES"/>
      </w:rPr>
    </w:lvl>
  </w:abstractNum>
  <w:abstractNum w:abstractNumId="11">
    <w:multiLevelType w:val="hybridMultilevel"/>
    <w:lvl w:ilvl="0">
      <w:start w:val="1"/>
      <w:numFmt w:val="upperRoman"/>
      <w:lvlText w:val="%1."/>
      <w:lvlJc w:val="left"/>
      <w:pPr>
        <w:ind w:left="820" w:hanging="437"/>
        <w:jc w:val="right"/>
      </w:pPr>
      <w:rPr>
        <w:rFonts w:hint="default" w:ascii="Century Gothic" w:hAnsi="Century Gothic" w:eastAsia="Century Gothic" w:cs="Century Gothic"/>
        <w:b/>
        <w:bCs/>
        <w:spacing w:val="-5"/>
        <w:w w:val="99"/>
        <w:sz w:val="24"/>
        <w:szCs w:val="24"/>
        <w:lang w:val="es-ES" w:eastAsia="es-ES" w:bidi="es-ES"/>
      </w:rPr>
    </w:lvl>
    <w:lvl w:ilvl="1">
      <w:start w:val="1"/>
      <w:numFmt w:val="upperRoman"/>
      <w:lvlText w:val="%2."/>
      <w:lvlJc w:val="left"/>
      <w:pPr>
        <w:ind w:left="832" w:hanging="483"/>
        <w:jc w:val="right"/>
      </w:pPr>
      <w:rPr>
        <w:rFonts w:hint="default" w:ascii="Century Gothic" w:hAnsi="Century Gothic" w:eastAsia="Century Gothic" w:cs="Century Gothic"/>
        <w:b/>
        <w:bCs/>
        <w:spacing w:val="-5"/>
        <w:w w:val="99"/>
        <w:sz w:val="24"/>
        <w:szCs w:val="24"/>
        <w:lang w:val="es-ES" w:eastAsia="es-ES" w:bidi="es-ES"/>
      </w:rPr>
    </w:lvl>
    <w:lvl w:ilvl="2">
      <w:start w:val="0"/>
      <w:numFmt w:val="bullet"/>
      <w:lvlText w:val="•"/>
      <w:lvlJc w:val="left"/>
      <w:pPr>
        <w:ind w:left="1880" w:hanging="483"/>
      </w:pPr>
      <w:rPr>
        <w:rFonts w:hint="default"/>
        <w:lang w:val="es-ES" w:eastAsia="es-ES" w:bidi="es-ES"/>
      </w:rPr>
    </w:lvl>
    <w:lvl w:ilvl="3">
      <w:start w:val="0"/>
      <w:numFmt w:val="bullet"/>
      <w:lvlText w:val="•"/>
      <w:lvlJc w:val="left"/>
      <w:pPr>
        <w:ind w:left="2920" w:hanging="483"/>
      </w:pPr>
      <w:rPr>
        <w:rFonts w:hint="default"/>
        <w:lang w:val="es-ES" w:eastAsia="es-ES" w:bidi="es-ES"/>
      </w:rPr>
    </w:lvl>
    <w:lvl w:ilvl="4">
      <w:start w:val="0"/>
      <w:numFmt w:val="bullet"/>
      <w:lvlText w:val="•"/>
      <w:lvlJc w:val="left"/>
      <w:pPr>
        <w:ind w:left="3960" w:hanging="483"/>
      </w:pPr>
      <w:rPr>
        <w:rFonts w:hint="default"/>
        <w:lang w:val="es-ES" w:eastAsia="es-ES" w:bidi="es-ES"/>
      </w:rPr>
    </w:lvl>
    <w:lvl w:ilvl="5">
      <w:start w:val="0"/>
      <w:numFmt w:val="bullet"/>
      <w:lvlText w:val="•"/>
      <w:lvlJc w:val="left"/>
      <w:pPr>
        <w:ind w:left="5001" w:hanging="483"/>
      </w:pPr>
      <w:rPr>
        <w:rFonts w:hint="default"/>
        <w:lang w:val="es-ES" w:eastAsia="es-ES" w:bidi="es-ES"/>
      </w:rPr>
    </w:lvl>
    <w:lvl w:ilvl="6">
      <w:start w:val="0"/>
      <w:numFmt w:val="bullet"/>
      <w:lvlText w:val="•"/>
      <w:lvlJc w:val="left"/>
      <w:pPr>
        <w:ind w:left="6041" w:hanging="483"/>
      </w:pPr>
      <w:rPr>
        <w:rFonts w:hint="default"/>
        <w:lang w:val="es-ES" w:eastAsia="es-ES" w:bidi="es-ES"/>
      </w:rPr>
    </w:lvl>
    <w:lvl w:ilvl="7">
      <w:start w:val="0"/>
      <w:numFmt w:val="bullet"/>
      <w:lvlText w:val="•"/>
      <w:lvlJc w:val="left"/>
      <w:pPr>
        <w:ind w:left="7081" w:hanging="483"/>
      </w:pPr>
      <w:rPr>
        <w:rFonts w:hint="default"/>
        <w:lang w:val="es-ES" w:eastAsia="es-ES" w:bidi="es-ES"/>
      </w:rPr>
    </w:lvl>
    <w:lvl w:ilvl="8">
      <w:start w:val="0"/>
      <w:numFmt w:val="bullet"/>
      <w:lvlText w:val="•"/>
      <w:lvlJc w:val="left"/>
      <w:pPr>
        <w:ind w:left="8121" w:hanging="483"/>
      </w:pPr>
      <w:rPr>
        <w:rFonts w:hint="default"/>
        <w:lang w:val="es-ES" w:eastAsia="es-ES" w:bidi="es-ES"/>
      </w:rPr>
    </w:lvl>
  </w:abstractNum>
  <w:abstractNum w:abstractNumId="10">
    <w:multiLevelType w:val="hybridMultilevel"/>
    <w:lvl w:ilvl="0">
      <w:start w:val="1"/>
      <w:numFmt w:val="upperRoman"/>
      <w:lvlText w:val="%1."/>
      <w:lvlJc w:val="left"/>
      <w:pPr>
        <w:ind w:left="1192" w:hanging="720"/>
        <w:jc w:val="left"/>
      </w:pPr>
      <w:rPr>
        <w:rFonts w:hint="default" w:ascii="Century Gothic" w:hAnsi="Century Gothic" w:eastAsia="Century Gothic" w:cs="Century Gothic"/>
        <w:b/>
        <w:bCs/>
        <w:spacing w:val="-5"/>
        <w:w w:val="99"/>
        <w:sz w:val="24"/>
        <w:szCs w:val="24"/>
        <w:lang w:val="es-ES" w:eastAsia="es-ES" w:bidi="es-ES"/>
      </w:rPr>
    </w:lvl>
    <w:lvl w:ilvl="1">
      <w:start w:val="0"/>
      <w:numFmt w:val="bullet"/>
      <w:lvlText w:val="•"/>
      <w:lvlJc w:val="left"/>
      <w:pPr>
        <w:ind w:left="2100" w:hanging="720"/>
      </w:pPr>
      <w:rPr>
        <w:rFonts w:hint="default"/>
        <w:lang w:val="es-ES" w:eastAsia="es-ES" w:bidi="es-ES"/>
      </w:rPr>
    </w:lvl>
    <w:lvl w:ilvl="2">
      <w:start w:val="0"/>
      <w:numFmt w:val="bullet"/>
      <w:lvlText w:val="•"/>
      <w:lvlJc w:val="left"/>
      <w:pPr>
        <w:ind w:left="3000" w:hanging="720"/>
      </w:pPr>
      <w:rPr>
        <w:rFonts w:hint="default"/>
        <w:lang w:val="es-ES" w:eastAsia="es-ES" w:bidi="es-ES"/>
      </w:rPr>
    </w:lvl>
    <w:lvl w:ilvl="3">
      <w:start w:val="0"/>
      <w:numFmt w:val="bullet"/>
      <w:lvlText w:val="•"/>
      <w:lvlJc w:val="left"/>
      <w:pPr>
        <w:ind w:left="3900" w:hanging="720"/>
      </w:pPr>
      <w:rPr>
        <w:rFonts w:hint="default"/>
        <w:lang w:val="es-ES" w:eastAsia="es-ES" w:bidi="es-ES"/>
      </w:rPr>
    </w:lvl>
    <w:lvl w:ilvl="4">
      <w:start w:val="0"/>
      <w:numFmt w:val="bullet"/>
      <w:lvlText w:val="•"/>
      <w:lvlJc w:val="left"/>
      <w:pPr>
        <w:ind w:left="4800" w:hanging="720"/>
      </w:pPr>
      <w:rPr>
        <w:rFonts w:hint="default"/>
        <w:lang w:val="es-ES" w:eastAsia="es-ES" w:bidi="es-ES"/>
      </w:rPr>
    </w:lvl>
    <w:lvl w:ilvl="5">
      <w:start w:val="0"/>
      <w:numFmt w:val="bullet"/>
      <w:lvlText w:val="•"/>
      <w:lvlJc w:val="left"/>
      <w:pPr>
        <w:ind w:left="5701" w:hanging="720"/>
      </w:pPr>
      <w:rPr>
        <w:rFonts w:hint="default"/>
        <w:lang w:val="es-ES" w:eastAsia="es-ES" w:bidi="es-ES"/>
      </w:rPr>
    </w:lvl>
    <w:lvl w:ilvl="6">
      <w:start w:val="0"/>
      <w:numFmt w:val="bullet"/>
      <w:lvlText w:val="•"/>
      <w:lvlJc w:val="left"/>
      <w:pPr>
        <w:ind w:left="6601" w:hanging="720"/>
      </w:pPr>
      <w:rPr>
        <w:rFonts w:hint="default"/>
        <w:lang w:val="es-ES" w:eastAsia="es-ES" w:bidi="es-ES"/>
      </w:rPr>
    </w:lvl>
    <w:lvl w:ilvl="7">
      <w:start w:val="0"/>
      <w:numFmt w:val="bullet"/>
      <w:lvlText w:val="•"/>
      <w:lvlJc w:val="left"/>
      <w:pPr>
        <w:ind w:left="7501" w:hanging="720"/>
      </w:pPr>
      <w:rPr>
        <w:rFonts w:hint="default"/>
        <w:lang w:val="es-ES" w:eastAsia="es-ES" w:bidi="es-ES"/>
      </w:rPr>
    </w:lvl>
    <w:lvl w:ilvl="8">
      <w:start w:val="0"/>
      <w:numFmt w:val="bullet"/>
      <w:lvlText w:val="•"/>
      <w:lvlJc w:val="left"/>
      <w:pPr>
        <w:ind w:left="8401" w:hanging="720"/>
      </w:pPr>
      <w:rPr>
        <w:rFonts w:hint="default"/>
        <w:lang w:val="es-ES" w:eastAsia="es-ES" w:bidi="es-ES"/>
      </w:rPr>
    </w:lvl>
  </w:abstractNum>
  <w:abstractNum w:abstractNumId="9">
    <w:multiLevelType w:val="hybridMultilevel"/>
    <w:lvl w:ilvl="0">
      <w:start w:val="1"/>
      <w:numFmt w:val="upperRoman"/>
      <w:lvlText w:val="%1."/>
      <w:lvlJc w:val="left"/>
      <w:pPr>
        <w:ind w:left="1192" w:hanging="720"/>
        <w:jc w:val="left"/>
      </w:pPr>
      <w:rPr>
        <w:rFonts w:hint="default" w:ascii="Century Gothic" w:hAnsi="Century Gothic" w:eastAsia="Century Gothic" w:cs="Century Gothic"/>
        <w:b/>
        <w:bCs/>
        <w:spacing w:val="-5"/>
        <w:w w:val="99"/>
        <w:sz w:val="24"/>
        <w:szCs w:val="24"/>
        <w:lang w:val="es-ES" w:eastAsia="es-ES" w:bidi="es-ES"/>
      </w:rPr>
    </w:lvl>
    <w:lvl w:ilvl="1">
      <w:start w:val="0"/>
      <w:numFmt w:val="bullet"/>
      <w:lvlText w:val="•"/>
      <w:lvlJc w:val="left"/>
      <w:pPr>
        <w:ind w:left="2100" w:hanging="720"/>
      </w:pPr>
      <w:rPr>
        <w:rFonts w:hint="default"/>
        <w:lang w:val="es-ES" w:eastAsia="es-ES" w:bidi="es-ES"/>
      </w:rPr>
    </w:lvl>
    <w:lvl w:ilvl="2">
      <w:start w:val="0"/>
      <w:numFmt w:val="bullet"/>
      <w:lvlText w:val="•"/>
      <w:lvlJc w:val="left"/>
      <w:pPr>
        <w:ind w:left="3000" w:hanging="720"/>
      </w:pPr>
      <w:rPr>
        <w:rFonts w:hint="default"/>
        <w:lang w:val="es-ES" w:eastAsia="es-ES" w:bidi="es-ES"/>
      </w:rPr>
    </w:lvl>
    <w:lvl w:ilvl="3">
      <w:start w:val="0"/>
      <w:numFmt w:val="bullet"/>
      <w:lvlText w:val="•"/>
      <w:lvlJc w:val="left"/>
      <w:pPr>
        <w:ind w:left="3900" w:hanging="720"/>
      </w:pPr>
      <w:rPr>
        <w:rFonts w:hint="default"/>
        <w:lang w:val="es-ES" w:eastAsia="es-ES" w:bidi="es-ES"/>
      </w:rPr>
    </w:lvl>
    <w:lvl w:ilvl="4">
      <w:start w:val="0"/>
      <w:numFmt w:val="bullet"/>
      <w:lvlText w:val="•"/>
      <w:lvlJc w:val="left"/>
      <w:pPr>
        <w:ind w:left="4800" w:hanging="720"/>
      </w:pPr>
      <w:rPr>
        <w:rFonts w:hint="default"/>
        <w:lang w:val="es-ES" w:eastAsia="es-ES" w:bidi="es-ES"/>
      </w:rPr>
    </w:lvl>
    <w:lvl w:ilvl="5">
      <w:start w:val="0"/>
      <w:numFmt w:val="bullet"/>
      <w:lvlText w:val="•"/>
      <w:lvlJc w:val="left"/>
      <w:pPr>
        <w:ind w:left="5701" w:hanging="720"/>
      </w:pPr>
      <w:rPr>
        <w:rFonts w:hint="default"/>
        <w:lang w:val="es-ES" w:eastAsia="es-ES" w:bidi="es-ES"/>
      </w:rPr>
    </w:lvl>
    <w:lvl w:ilvl="6">
      <w:start w:val="0"/>
      <w:numFmt w:val="bullet"/>
      <w:lvlText w:val="•"/>
      <w:lvlJc w:val="left"/>
      <w:pPr>
        <w:ind w:left="6601" w:hanging="720"/>
      </w:pPr>
      <w:rPr>
        <w:rFonts w:hint="default"/>
        <w:lang w:val="es-ES" w:eastAsia="es-ES" w:bidi="es-ES"/>
      </w:rPr>
    </w:lvl>
    <w:lvl w:ilvl="7">
      <w:start w:val="0"/>
      <w:numFmt w:val="bullet"/>
      <w:lvlText w:val="•"/>
      <w:lvlJc w:val="left"/>
      <w:pPr>
        <w:ind w:left="7501" w:hanging="720"/>
      </w:pPr>
      <w:rPr>
        <w:rFonts w:hint="default"/>
        <w:lang w:val="es-ES" w:eastAsia="es-ES" w:bidi="es-ES"/>
      </w:rPr>
    </w:lvl>
    <w:lvl w:ilvl="8">
      <w:start w:val="0"/>
      <w:numFmt w:val="bullet"/>
      <w:lvlText w:val="•"/>
      <w:lvlJc w:val="left"/>
      <w:pPr>
        <w:ind w:left="8401" w:hanging="720"/>
      </w:pPr>
      <w:rPr>
        <w:rFonts w:hint="default"/>
        <w:lang w:val="es-ES" w:eastAsia="es-ES" w:bidi="es-ES"/>
      </w:rPr>
    </w:lvl>
  </w:abstractNum>
  <w:abstractNum w:abstractNumId="8">
    <w:multiLevelType w:val="hybridMultilevel"/>
    <w:lvl w:ilvl="0">
      <w:start w:val="1"/>
      <w:numFmt w:val="upperRoman"/>
      <w:lvlText w:val="%1."/>
      <w:lvlJc w:val="left"/>
      <w:pPr>
        <w:ind w:left="1192" w:hanging="720"/>
        <w:jc w:val="left"/>
      </w:pPr>
      <w:rPr>
        <w:rFonts w:hint="default" w:ascii="Century Gothic" w:hAnsi="Century Gothic" w:eastAsia="Century Gothic" w:cs="Century Gothic"/>
        <w:b/>
        <w:bCs/>
        <w:spacing w:val="-19"/>
        <w:w w:val="99"/>
        <w:sz w:val="24"/>
        <w:szCs w:val="24"/>
        <w:lang w:val="es-ES" w:eastAsia="es-ES" w:bidi="es-ES"/>
      </w:rPr>
    </w:lvl>
    <w:lvl w:ilvl="1">
      <w:start w:val="1"/>
      <w:numFmt w:val="upperRoman"/>
      <w:lvlText w:val="%2."/>
      <w:lvlJc w:val="left"/>
      <w:pPr>
        <w:ind w:left="1912" w:hanging="720"/>
        <w:jc w:val="left"/>
      </w:pPr>
      <w:rPr>
        <w:rFonts w:hint="default" w:ascii="Century Gothic" w:hAnsi="Century Gothic" w:eastAsia="Century Gothic" w:cs="Century Gothic"/>
        <w:b/>
        <w:bCs/>
        <w:spacing w:val="-19"/>
        <w:w w:val="99"/>
        <w:sz w:val="24"/>
        <w:szCs w:val="24"/>
        <w:lang w:val="es-ES" w:eastAsia="es-ES" w:bidi="es-ES"/>
      </w:rPr>
    </w:lvl>
    <w:lvl w:ilvl="2">
      <w:start w:val="0"/>
      <w:numFmt w:val="bullet"/>
      <w:lvlText w:val="•"/>
      <w:lvlJc w:val="left"/>
      <w:pPr>
        <w:ind w:left="2840" w:hanging="720"/>
      </w:pPr>
      <w:rPr>
        <w:rFonts w:hint="default"/>
        <w:lang w:val="es-ES" w:eastAsia="es-ES" w:bidi="es-ES"/>
      </w:rPr>
    </w:lvl>
    <w:lvl w:ilvl="3">
      <w:start w:val="0"/>
      <w:numFmt w:val="bullet"/>
      <w:lvlText w:val="•"/>
      <w:lvlJc w:val="left"/>
      <w:pPr>
        <w:ind w:left="3760" w:hanging="720"/>
      </w:pPr>
      <w:rPr>
        <w:rFonts w:hint="default"/>
        <w:lang w:val="es-ES" w:eastAsia="es-ES" w:bidi="es-ES"/>
      </w:rPr>
    </w:lvl>
    <w:lvl w:ilvl="4">
      <w:start w:val="0"/>
      <w:numFmt w:val="bullet"/>
      <w:lvlText w:val="•"/>
      <w:lvlJc w:val="left"/>
      <w:pPr>
        <w:ind w:left="4680" w:hanging="720"/>
      </w:pPr>
      <w:rPr>
        <w:rFonts w:hint="default"/>
        <w:lang w:val="es-ES" w:eastAsia="es-ES" w:bidi="es-ES"/>
      </w:rPr>
    </w:lvl>
    <w:lvl w:ilvl="5">
      <w:start w:val="0"/>
      <w:numFmt w:val="bullet"/>
      <w:lvlText w:val="•"/>
      <w:lvlJc w:val="left"/>
      <w:pPr>
        <w:ind w:left="5601" w:hanging="720"/>
      </w:pPr>
      <w:rPr>
        <w:rFonts w:hint="default"/>
        <w:lang w:val="es-ES" w:eastAsia="es-ES" w:bidi="es-ES"/>
      </w:rPr>
    </w:lvl>
    <w:lvl w:ilvl="6">
      <w:start w:val="0"/>
      <w:numFmt w:val="bullet"/>
      <w:lvlText w:val="•"/>
      <w:lvlJc w:val="left"/>
      <w:pPr>
        <w:ind w:left="6521" w:hanging="720"/>
      </w:pPr>
      <w:rPr>
        <w:rFonts w:hint="default"/>
        <w:lang w:val="es-ES" w:eastAsia="es-ES" w:bidi="es-ES"/>
      </w:rPr>
    </w:lvl>
    <w:lvl w:ilvl="7">
      <w:start w:val="0"/>
      <w:numFmt w:val="bullet"/>
      <w:lvlText w:val="•"/>
      <w:lvlJc w:val="left"/>
      <w:pPr>
        <w:ind w:left="7441" w:hanging="720"/>
      </w:pPr>
      <w:rPr>
        <w:rFonts w:hint="default"/>
        <w:lang w:val="es-ES" w:eastAsia="es-ES" w:bidi="es-ES"/>
      </w:rPr>
    </w:lvl>
    <w:lvl w:ilvl="8">
      <w:start w:val="0"/>
      <w:numFmt w:val="bullet"/>
      <w:lvlText w:val="•"/>
      <w:lvlJc w:val="left"/>
      <w:pPr>
        <w:ind w:left="8361" w:hanging="720"/>
      </w:pPr>
      <w:rPr>
        <w:rFonts w:hint="default"/>
        <w:lang w:val="es-ES" w:eastAsia="es-ES" w:bidi="es-ES"/>
      </w:rPr>
    </w:lvl>
  </w:abstractNum>
  <w:abstractNum w:abstractNumId="7">
    <w:multiLevelType w:val="hybridMultilevel"/>
    <w:lvl w:ilvl="0">
      <w:start w:val="1"/>
      <w:numFmt w:val="upperRoman"/>
      <w:lvlText w:val="%1."/>
      <w:lvlJc w:val="left"/>
      <w:pPr>
        <w:ind w:left="1192" w:hanging="720"/>
        <w:jc w:val="left"/>
      </w:pPr>
      <w:rPr>
        <w:rFonts w:hint="default" w:ascii="Century Gothic" w:hAnsi="Century Gothic" w:eastAsia="Century Gothic" w:cs="Century Gothic"/>
        <w:b/>
        <w:bCs/>
        <w:spacing w:val="-19"/>
        <w:w w:val="99"/>
        <w:sz w:val="24"/>
        <w:szCs w:val="24"/>
        <w:lang w:val="es-ES" w:eastAsia="es-ES" w:bidi="es-ES"/>
      </w:rPr>
    </w:lvl>
    <w:lvl w:ilvl="1">
      <w:start w:val="1"/>
      <w:numFmt w:val="upperRoman"/>
      <w:lvlText w:val="%2."/>
      <w:lvlJc w:val="left"/>
      <w:pPr>
        <w:ind w:left="1912" w:hanging="720"/>
        <w:jc w:val="left"/>
      </w:pPr>
      <w:rPr>
        <w:rFonts w:hint="default" w:ascii="Century Gothic" w:hAnsi="Century Gothic" w:eastAsia="Century Gothic" w:cs="Century Gothic"/>
        <w:b/>
        <w:bCs/>
        <w:spacing w:val="-33"/>
        <w:w w:val="99"/>
        <w:sz w:val="24"/>
        <w:szCs w:val="24"/>
        <w:lang w:val="es-ES" w:eastAsia="es-ES" w:bidi="es-ES"/>
      </w:rPr>
    </w:lvl>
    <w:lvl w:ilvl="2">
      <w:start w:val="0"/>
      <w:numFmt w:val="bullet"/>
      <w:lvlText w:val="•"/>
      <w:lvlJc w:val="left"/>
      <w:pPr>
        <w:ind w:left="2840" w:hanging="720"/>
      </w:pPr>
      <w:rPr>
        <w:rFonts w:hint="default"/>
        <w:lang w:val="es-ES" w:eastAsia="es-ES" w:bidi="es-ES"/>
      </w:rPr>
    </w:lvl>
    <w:lvl w:ilvl="3">
      <w:start w:val="0"/>
      <w:numFmt w:val="bullet"/>
      <w:lvlText w:val="•"/>
      <w:lvlJc w:val="left"/>
      <w:pPr>
        <w:ind w:left="3760" w:hanging="720"/>
      </w:pPr>
      <w:rPr>
        <w:rFonts w:hint="default"/>
        <w:lang w:val="es-ES" w:eastAsia="es-ES" w:bidi="es-ES"/>
      </w:rPr>
    </w:lvl>
    <w:lvl w:ilvl="4">
      <w:start w:val="0"/>
      <w:numFmt w:val="bullet"/>
      <w:lvlText w:val="•"/>
      <w:lvlJc w:val="left"/>
      <w:pPr>
        <w:ind w:left="4680" w:hanging="720"/>
      </w:pPr>
      <w:rPr>
        <w:rFonts w:hint="default"/>
        <w:lang w:val="es-ES" w:eastAsia="es-ES" w:bidi="es-ES"/>
      </w:rPr>
    </w:lvl>
    <w:lvl w:ilvl="5">
      <w:start w:val="0"/>
      <w:numFmt w:val="bullet"/>
      <w:lvlText w:val="•"/>
      <w:lvlJc w:val="left"/>
      <w:pPr>
        <w:ind w:left="5601" w:hanging="720"/>
      </w:pPr>
      <w:rPr>
        <w:rFonts w:hint="default"/>
        <w:lang w:val="es-ES" w:eastAsia="es-ES" w:bidi="es-ES"/>
      </w:rPr>
    </w:lvl>
    <w:lvl w:ilvl="6">
      <w:start w:val="0"/>
      <w:numFmt w:val="bullet"/>
      <w:lvlText w:val="•"/>
      <w:lvlJc w:val="left"/>
      <w:pPr>
        <w:ind w:left="6521" w:hanging="720"/>
      </w:pPr>
      <w:rPr>
        <w:rFonts w:hint="default"/>
        <w:lang w:val="es-ES" w:eastAsia="es-ES" w:bidi="es-ES"/>
      </w:rPr>
    </w:lvl>
    <w:lvl w:ilvl="7">
      <w:start w:val="0"/>
      <w:numFmt w:val="bullet"/>
      <w:lvlText w:val="•"/>
      <w:lvlJc w:val="left"/>
      <w:pPr>
        <w:ind w:left="7441" w:hanging="720"/>
      </w:pPr>
      <w:rPr>
        <w:rFonts w:hint="default"/>
        <w:lang w:val="es-ES" w:eastAsia="es-ES" w:bidi="es-ES"/>
      </w:rPr>
    </w:lvl>
    <w:lvl w:ilvl="8">
      <w:start w:val="0"/>
      <w:numFmt w:val="bullet"/>
      <w:lvlText w:val="•"/>
      <w:lvlJc w:val="left"/>
      <w:pPr>
        <w:ind w:left="8361" w:hanging="720"/>
      </w:pPr>
      <w:rPr>
        <w:rFonts w:hint="default"/>
        <w:lang w:val="es-ES" w:eastAsia="es-ES" w:bidi="es-ES"/>
      </w:rPr>
    </w:lvl>
  </w:abstractNum>
  <w:abstractNum w:abstractNumId="6">
    <w:multiLevelType w:val="hybridMultilevel"/>
    <w:lvl w:ilvl="0">
      <w:start w:val="1"/>
      <w:numFmt w:val="upperRoman"/>
      <w:lvlText w:val="%1."/>
      <w:lvlJc w:val="left"/>
      <w:pPr>
        <w:ind w:left="1192" w:hanging="720"/>
        <w:jc w:val="left"/>
      </w:pPr>
      <w:rPr>
        <w:rFonts w:hint="default" w:ascii="Century Gothic" w:hAnsi="Century Gothic" w:eastAsia="Century Gothic" w:cs="Century Gothic"/>
        <w:spacing w:val="0"/>
        <w:w w:val="99"/>
        <w:sz w:val="24"/>
        <w:szCs w:val="24"/>
        <w:lang w:val="es-ES" w:eastAsia="es-ES" w:bidi="es-ES"/>
      </w:rPr>
    </w:lvl>
    <w:lvl w:ilvl="1">
      <w:start w:val="1"/>
      <w:numFmt w:val="lowerLetter"/>
      <w:lvlText w:val="%2)"/>
      <w:lvlJc w:val="left"/>
      <w:pPr>
        <w:ind w:left="847" w:hanging="804"/>
        <w:jc w:val="left"/>
      </w:pPr>
      <w:rPr>
        <w:rFonts w:hint="default" w:ascii="Century Gothic" w:hAnsi="Century Gothic" w:eastAsia="Century Gothic" w:cs="Century Gothic"/>
        <w:spacing w:val="-1"/>
        <w:w w:val="99"/>
        <w:sz w:val="24"/>
        <w:szCs w:val="24"/>
        <w:lang w:val="es-ES" w:eastAsia="es-ES" w:bidi="es-ES"/>
      </w:rPr>
    </w:lvl>
    <w:lvl w:ilvl="2">
      <w:start w:val="0"/>
      <w:numFmt w:val="bullet"/>
      <w:lvlText w:val="•"/>
      <w:lvlJc w:val="left"/>
      <w:pPr>
        <w:ind w:left="2200" w:hanging="804"/>
      </w:pPr>
      <w:rPr>
        <w:rFonts w:hint="default"/>
        <w:lang w:val="es-ES" w:eastAsia="es-ES" w:bidi="es-ES"/>
      </w:rPr>
    </w:lvl>
    <w:lvl w:ilvl="3">
      <w:start w:val="0"/>
      <w:numFmt w:val="bullet"/>
      <w:lvlText w:val="•"/>
      <w:lvlJc w:val="left"/>
      <w:pPr>
        <w:ind w:left="3200" w:hanging="804"/>
      </w:pPr>
      <w:rPr>
        <w:rFonts w:hint="default"/>
        <w:lang w:val="es-ES" w:eastAsia="es-ES" w:bidi="es-ES"/>
      </w:rPr>
    </w:lvl>
    <w:lvl w:ilvl="4">
      <w:start w:val="0"/>
      <w:numFmt w:val="bullet"/>
      <w:lvlText w:val="•"/>
      <w:lvlJc w:val="left"/>
      <w:pPr>
        <w:ind w:left="4200" w:hanging="804"/>
      </w:pPr>
      <w:rPr>
        <w:rFonts w:hint="default"/>
        <w:lang w:val="es-ES" w:eastAsia="es-ES" w:bidi="es-ES"/>
      </w:rPr>
    </w:lvl>
    <w:lvl w:ilvl="5">
      <w:start w:val="0"/>
      <w:numFmt w:val="bullet"/>
      <w:lvlText w:val="•"/>
      <w:lvlJc w:val="left"/>
      <w:pPr>
        <w:ind w:left="5201" w:hanging="804"/>
      </w:pPr>
      <w:rPr>
        <w:rFonts w:hint="default"/>
        <w:lang w:val="es-ES" w:eastAsia="es-ES" w:bidi="es-ES"/>
      </w:rPr>
    </w:lvl>
    <w:lvl w:ilvl="6">
      <w:start w:val="0"/>
      <w:numFmt w:val="bullet"/>
      <w:lvlText w:val="•"/>
      <w:lvlJc w:val="left"/>
      <w:pPr>
        <w:ind w:left="6201" w:hanging="804"/>
      </w:pPr>
      <w:rPr>
        <w:rFonts w:hint="default"/>
        <w:lang w:val="es-ES" w:eastAsia="es-ES" w:bidi="es-ES"/>
      </w:rPr>
    </w:lvl>
    <w:lvl w:ilvl="7">
      <w:start w:val="0"/>
      <w:numFmt w:val="bullet"/>
      <w:lvlText w:val="•"/>
      <w:lvlJc w:val="left"/>
      <w:pPr>
        <w:ind w:left="7201" w:hanging="804"/>
      </w:pPr>
      <w:rPr>
        <w:rFonts w:hint="default"/>
        <w:lang w:val="es-ES" w:eastAsia="es-ES" w:bidi="es-ES"/>
      </w:rPr>
    </w:lvl>
    <w:lvl w:ilvl="8">
      <w:start w:val="0"/>
      <w:numFmt w:val="bullet"/>
      <w:lvlText w:val="•"/>
      <w:lvlJc w:val="left"/>
      <w:pPr>
        <w:ind w:left="8201" w:hanging="804"/>
      </w:pPr>
      <w:rPr>
        <w:rFonts w:hint="default"/>
        <w:lang w:val="es-ES" w:eastAsia="es-ES" w:bidi="es-ES"/>
      </w:rPr>
    </w:lvl>
  </w:abstractNum>
  <w:abstractNum w:abstractNumId="5">
    <w:multiLevelType w:val="hybridMultilevel"/>
    <w:lvl w:ilvl="0">
      <w:start w:val="1"/>
      <w:numFmt w:val="upperRoman"/>
      <w:lvlText w:val="%1."/>
      <w:lvlJc w:val="left"/>
      <w:pPr>
        <w:ind w:left="1192" w:hanging="720"/>
        <w:jc w:val="left"/>
      </w:pPr>
      <w:rPr>
        <w:rFonts w:hint="default" w:ascii="Century Gothic" w:hAnsi="Century Gothic" w:eastAsia="Century Gothic" w:cs="Century Gothic"/>
        <w:spacing w:val="0"/>
        <w:w w:val="99"/>
        <w:sz w:val="24"/>
        <w:szCs w:val="24"/>
        <w:lang w:val="es-ES" w:eastAsia="es-ES" w:bidi="es-ES"/>
      </w:rPr>
    </w:lvl>
    <w:lvl w:ilvl="1">
      <w:start w:val="0"/>
      <w:numFmt w:val="bullet"/>
      <w:lvlText w:val="•"/>
      <w:lvlJc w:val="left"/>
      <w:pPr>
        <w:ind w:left="2100" w:hanging="720"/>
      </w:pPr>
      <w:rPr>
        <w:rFonts w:hint="default"/>
        <w:lang w:val="es-ES" w:eastAsia="es-ES" w:bidi="es-ES"/>
      </w:rPr>
    </w:lvl>
    <w:lvl w:ilvl="2">
      <w:start w:val="0"/>
      <w:numFmt w:val="bullet"/>
      <w:lvlText w:val="•"/>
      <w:lvlJc w:val="left"/>
      <w:pPr>
        <w:ind w:left="3000" w:hanging="720"/>
      </w:pPr>
      <w:rPr>
        <w:rFonts w:hint="default"/>
        <w:lang w:val="es-ES" w:eastAsia="es-ES" w:bidi="es-ES"/>
      </w:rPr>
    </w:lvl>
    <w:lvl w:ilvl="3">
      <w:start w:val="0"/>
      <w:numFmt w:val="bullet"/>
      <w:lvlText w:val="•"/>
      <w:lvlJc w:val="left"/>
      <w:pPr>
        <w:ind w:left="3900" w:hanging="720"/>
      </w:pPr>
      <w:rPr>
        <w:rFonts w:hint="default"/>
        <w:lang w:val="es-ES" w:eastAsia="es-ES" w:bidi="es-ES"/>
      </w:rPr>
    </w:lvl>
    <w:lvl w:ilvl="4">
      <w:start w:val="0"/>
      <w:numFmt w:val="bullet"/>
      <w:lvlText w:val="•"/>
      <w:lvlJc w:val="left"/>
      <w:pPr>
        <w:ind w:left="4800" w:hanging="720"/>
      </w:pPr>
      <w:rPr>
        <w:rFonts w:hint="default"/>
        <w:lang w:val="es-ES" w:eastAsia="es-ES" w:bidi="es-ES"/>
      </w:rPr>
    </w:lvl>
    <w:lvl w:ilvl="5">
      <w:start w:val="0"/>
      <w:numFmt w:val="bullet"/>
      <w:lvlText w:val="•"/>
      <w:lvlJc w:val="left"/>
      <w:pPr>
        <w:ind w:left="5701" w:hanging="720"/>
      </w:pPr>
      <w:rPr>
        <w:rFonts w:hint="default"/>
        <w:lang w:val="es-ES" w:eastAsia="es-ES" w:bidi="es-ES"/>
      </w:rPr>
    </w:lvl>
    <w:lvl w:ilvl="6">
      <w:start w:val="0"/>
      <w:numFmt w:val="bullet"/>
      <w:lvlText w:val="•"/>
      <w:lvlJc w:val="left"/>
      <w:pPr>
        <w:ind w:left="6601" w:hanging="720"/>
      </w:pPr>
      <w:rPr>
        <w:rFonts w:hint="default"/>
        <w:lang w:val="es-ES" w:eastAsia="es-ES" w:bidi="es-ES"/>
      </w:rPr>
    </w:lvl>
    <w:lvl w:ilvl="7">
      <w:start w:val="0"/>
      <w:numFmt w:val="bullet"/>
      <w:lvlText w:val="•"/>
      <w:lvlJc w:val="left"/>
      <w:pPr>
        <w:ind w:left="7501" w:hanging="720"/>
      </w:pPr>
      <w:rPr>
        <w:rFonts w:hint="default"/>
        <w:lang w:val="es-ES" w:eastAsia="es-ES" w:bidi="es-ES"/>
      </w:rPr>
    </w:lvl>
    <w:lvl w:ilvl="8">
      <w:start w:val="0"/>
      <w:numFmt w:val="bullet"/>
      <w:lvlText w:val="•"/>
      <w:lvlJc w:val="left"/>
      <w:pPr>
        <w:ind w:left="8401" w:hanging="720"/>
      </w:pPr>
      <w:rPr>
        <w:rFonts w:hint="default"/>
        <w:lang w:val="es-ES" w:eastAsia="es-ES" w:bidi="es-ES"/>
      </w:rPr>
    </w:lvl>
  </w:abstractNum>
  <w:abstractNum w:abstractNumId="4">
    <w:multiLevelType w:val="hybridMultilevel"/>
    <w:lvl w:ilvl="0">
      <w:start w:val="1"/>
      <w:numFmt w:val="upperRoman"/>
      <w:lvlText w:val="%1."/>
      <w:lvlJc w:val="left"/>
      <w:pPr>
        <w:ind w:left="1192" w:hanging="720"/>
        <w:jc w:val="left"/>
      </w:pPr>
      <w:rPr>
        <w:rFonts w:hint="default" w:ascii="Century Gothic" w:hAnsi="Century Gothic" w:eastAsia="Century Gothic" w:cs="Century Gothic"/>
        <w:b/>
        <w:bCs/>
        <w:spacing w:val="-27"/>
        <w:w w:val="99"/>
        <w:sz w:val="24"/>
        <w:szCs w:val="24"/>
        <w:lang w:val="es-ES" w:eastAsia="es-ES" w:bidi="es-ES"/>
      </w:rPr>
    </w:lvl>
    <w:lvl w:ilvl="1">
      <w:start w:val="0"/>
      <w:numFmt w:val="bullet"/>
      <w:lvlText w:val="•"/>
      <w:lvlJc w:val="left"/>
      <w:pPr>
        <w:ind w:left="2100" w:hanging="720"/>
      </w:pPr>
      <w:rPr>
        <w:rFonts w:hint="default"/>
        <w:lang w:val="es-ES" w:eastAsia="es-ES" w:bidi="es-ES"/>
      </w:rPr>
    </w:lvl>
    <w:lvl w:ilvl="2">
      <w:start w:val="0"/>
      <w:numFmt w:val="bullet"/>
      <w:lvlText w:val="•"/>
      <w:lvlJc w:val="left"/>
      <w:pPr>
        <w:ind w:left="3000" w:hanging="720"/>
      </w:pPr>
      <w:rPr>
        <w:rFonts w:hint="default"/>
        <w:lang w:val="es-ES" w:eastAsia="es-ES" w:bidi="es-ES"/>
      </w:rPr>
    </w:lvl>
    <w:lvl w:ilvl="3">
      <w:start w:val="0"/>
      <w:numFmt w:val="bullet"/>
      <w:lvlText w:val="•"/>
      <w:lvlJc w:val="left"/>
      <w:pPr>
        <w:ind w:left="3900" w:hanging="720"/>
      </w:pPr>
      <w:rPr>
        <w:rFonts w:hint="default"/>
        <w:lang w:val="es-ES" w:eastAsia="es-ES" w:bidi="es-ES"/>
      </w:rPr>
    </w:lvl>
    <w:lvl w:ilvl="4">
      <w:start w:val="0"/>
      <w:numFmt w:val="bullet"/>
      <w:lvlText w:val="•"/>
      <w:lvlJc w:val="left"/>
      <w:pPr>
        <w:ind w:left="4800" w:hanging="720"/>
      </w:pPr>
      <w:rPr>
        <w:rFonts w:hint="default"/>
        <w:lang w:val="es-ES" w:eastAsia="es-ES" w:bidi="es-ES"/>
      </w:rPr>
    </w:lvl>
    <w:lvl w:ilvl="5">
      <w:start w:val="0"/>
      <w:numFmt w:val="bullet"/>
      <w:lvlText w:val="•"/>
      <w:lvlJc w:val="left"/>
      <w:pPr>
        <w:ind w:left="5701" w:hanging="720"/>
      </w:pPr>
      <w:rPr>
        <w:rFonts w:hint="default"/>
        <w:lang w:val="es-ES" w:eastAsia="es-ES" w:bidi="es-ES"/>
      </w:rPr>
    </w:lvl>
    <w:lvl w:ilvl="6">
      <w:start w:val="0"/>
      <w:numFmt w:val="bullet"/>
      <w:lvlText w:val="•"/>
      <w:lvlJc w:val="left"/>
      <w:pPr>
        <w:ind w:left="6601" w:hanging="720"/>
      </w:pPr>
      <w:rPr>
        <w:rFonts w:hint="default"/>
        <w:lang w:val="es-ES" w:eastAsia="es-ES" w:bidi="es-ES"/>
      </w:rPr>
    </w:lvl>
    <w:lvl w:ilvl="7">
      <w:start w:val="0"/>
      <w:numFmt w:val="bullet"/>
      <w:lvlText w:val="•"/>
      <w:lvlJc w:val="left"/>
      <w:pPr>
        <w:ind w:left="7501" w:hanging="720"/>
      </w:pPr>
      <w:rPr>
        <w:rFonts w:hint="default"/>
        <w:lang w:val="es-ES" w:eastAsia="es-ES" w:bidi="es-ES"/>
      </w:rPr>
    </w:lvl>
    <w:lvl w:ilvl="8">
      <w:start w:val="0"/>
      <w:numFmt w:val="bullet"/>
      <w:lvlText w:val="•"/>
      <w:lvlJc w:val="left"/>
      <w:pPr>
        <w:ind w:left="8401" w:hanging="720"/>
      </w:pPr>
      <w:rPr>
        <w:rFonts w:hint="default"/>
        <w:lang w:val="es-ES" w:eastAsia="es-ES" w:bidi="es-ES"/>
      </w:rPr>
    </w:lvl>
  </w:abstractNum>
  <w:abstractNum w:abstractNumId="3">
    <w:multiLevelType w:val="hybridMultilevel"/>
    <w:lvl w:ilvl="0">
      <w:start w:val="1"/>
      <w:numFmt w:val="upperRoman"/>
      <w:lvlText w:val="%1."/>
      <w:lvlJc w:val="left"/>
      <w:pPr>
        <w:ind w:left="1192" w:hanging="720"/>
        <w:jc w:val="left"/>
      </w:pPr>
      <w:rPr>
        <w:rFonts w:hint="default" w:ascii="Century Gothic" w:hAnsi="Century Gothic" w:eastAsia="Century Gothic" w:cs="Century Gothic"/>
        <w:b/>
        <w:bCs/>
        <w:spacing w:val="-5"/>
        <w:w w:val="99"/>
        <w:sz w:val="24"/>
        <w:szCs w:val="24"/>
        <w:lang w:val="es-ES" w:eastAsia="es-ES" w:bidi="es-ES"/>
      </w:rPr>
    </w:lvl>
    <w:lvl w:ilvl="1">
      <w:start w:val="0"/>
      <w:numFmt w:val="bullet"/>
      <w:lvlText w:val="•"/>
      <w:lvlJc w:val="left"/>
      <w:pPr>
        <w:ind w:left="2100" w:hanging="720"/>
      </w:pPr>
      <w:rPr>
        <w:rFonts w:hint="default"/>
        <w:lang w:val="es-ES" w:eastAsia="es-ES" w:bidi="es-ES"/>
      </w:rPr>
    </w:lvl>
    <w:lvl w:ilvl="2">
      <w:start w:val="0"/>
      <w:numFmt w:val="bullet"/>
      <w:lvlText w:val="•"/>
      <w:lvlJc w:val="left"/>
      <w:pPr>
        <w:ind w:left="3000" w:hanging="720"/>
      </w:pPr>
      <w:rPr>
        <w:rFonts w:hint="default"/>
        <w:lang w:val="es-ES" w:eastAsia="es-ES" w:bidi="es-ES"/>
      </w:rPr>
    </w:lvl>
    <w:lvl w:ilvl="3">
      <w:start w:val="0"/>
      <w:numFmt w:val="bullet"/>
      <w:lvlText w:val="•"/>
      <w:lvlJc w:val="left"/>
      <w:pPr>
        <w:ind w:left="3900" w:hanging="720"/>
      </w:pPr>
      <w:rPr>
        <w:rFonts w:hint="default"/>
        <w:lang w:val="es-ES" w:eastAsia="es-ES" w:bidi="es-ES"/>
      </w:rPr>
    </w:lvl>
    <w:lvl w:ilvl="4">
      <w:start w:val="0"/>
      <w:numFmt w:val="bullet"/>
      <w:lvlText w:val="•"/>
      <w:lvlJc w:val="left"/>
      <w:pPr>
        <w:ind w:left="4800" w:hanging="720"/>
      </w:pPr>
      <w:rPr>
        <w:rFonts w:hint="default"/>
        <w:lang w:val="es-ES" w:eastAsia="es-ES" w:bidi="es-ES"/>
      </w:rPr>
    </w:lvl>
    <w:lvl w:ilvl="5">
      <w:start w:val="0"/>
      <w:numFmt w:val="bullet"/>
      <w:lvlText w:val="•"/>
      <w:lvlJc w:val="left"/>
      <w:pPr>
        <w:ind w:left="5701" w:hanging="720"/>
      </w:pPr>
      <w:rPr>
        <w:rFonts w:hint="default"/>
        <w:lang w:val="es-ES" w:eastAsia="es-ES" w:bidi="es-ES"/>
      </w:rPr>
    </w:lvl>
    <w:lvl w:ilvl="6">
      <w:start w:val="0"/>
      <w:numFmt w:val="bullet"/>
      <w:lvlText w:val="•"/>
      <w:lvlJc w:val="left"/>
      <w:pPr>
        <w:ind w:left="6601" w:hanging="720"/>
      </w:pPr>
      <w:rPr>
        <w:rFonts w:hint="default"/>
        <w:lang w:val="es-ES" w:eastAsia="es-ES" w:bidi="es-ES"/>
      </w:rPr>
    </w:lvl>
    <w:lvl w:ilvl="7">
      <w:start w:val="0"/>
      <w:numFmt w:val="bullet"/>
      <w:lvlText w:val="•"/>
      <w:lvlJc w:val="left"/>
      <w:pPr>
        <w:ind w:left="7501" w:hanging="720"/>
      </w:pPr>
      <w:rPr>
        <w:rFonts w:hint="default"/>
        <w:lang w:val="es-ES" w:eastAsia="es-ES" w:bidi="es-ES"/>
      </w:rPr>
    </w:lvl>
    <w:lvl w:ilvl="8">
      <w:start w:val="0"/>
      <w:numFmt w:val="bullet"/>
      <w:lvlText w:val="•"/>
      <w:lvlJc w:val="left"/>
      <w:pPr>
        <w:ind w:left="8401" w:hanging="720"/>
      </w:pPr>
      <w:rPr>
        <w:rFonts w:hint="default"/>
        <w:lang w:val="es-ES" w:eastAsia="es-ES" w:bidi="es-ES"/>
      </w:rPr>
    </w:lvl>
  </w:abstractNum>
  <w:abstractNum w:abstractNumId="2">
    <w:multiLevelType w:val="hybridMultilevel"/>
    <w:lvl w:ilvl="0">
      <w:start w:val="1"/>
      <w:numFmt w:val="upperRoman"/>
      <w:lvlText w:val="%1."/>
      <w:lvlJc w:val="left"/>
      <w:pPr>
        <w:ind w:left="1192" w:hanging="720"/>
        <w:jc w:val="left"/>
      </w:pPr>
      <w:rPr>
        <w:rFonts w:hint="default" w:ascii="Century Gothic" w:hAnsi="Century Gothic" w:eastAsia="Century Gothic" w:cs="Century Gothic"/>
        <w:b/>
        <w:bCs/>
        <w:spacing w:val="-19"/>
        <w:w w:val="99"/>
        <w:sz w:val="24"/>
        <w:szCs w:val="24"/>
        <w:lang w:val="es-ES" w:eastAsia="es-ES" w:bidi="es-ES"/>
      </w:rPr>
    </w:lvl>
    <w:lvl w:ilvl="1">
      <w:start w:val="0"/>
      <w:numFmt w:val="bullet"/>
      <w:lvlText w:val="•"/>
      <w:lvlJc w:val="left"/>
      <w:pPr>
        <w:ind w:left="2100" w:hanging="720"/>
      </w:pPr>
      <w:rPr>
        <w:rFonts w:hint="default"/>
        <w:lang w:val="es-ES" w:eastAsia="es-ES" w:bidi="es-ES"/>
      </w:rPr>
    </w:lvl>
    <w:lvl w:ilvl="2">
      <w:start w:val="0"/>
      <w:numFmt w:val="bullet"/>
      <w:lvlText w:val="•"/>
      <w:lvlJc w:val="left"/>
      <w:pPr>
        <w:ind w:left="3000" w:hanging="720"/>
      </w:pPr>
      <w:rPr>
        <w:rFonts w:hint="default"/>
        <w:lang w:val="es-ES" w:eastAsia="es-ES" w:bidi="es-ES"/>
      </w:rPr>
    </w:lvl>
    <w:lvl w:ilvl="3">
      <w:start w:val="0"/>
      <w:numFmt w:val="bullet"/>
      <w:lvlText w:val="•"/>
      <w:lvlJc w:val="left"/>
      <w:pPr>
        <w:ind w:left="3900" w:hanging="720"/>
      </w:pPr>
      <w:rPr>
        <w:rFonts w:hint="default"/>
        <w:lang w:val="es-ES" w:eastAsia="es-ES" w:bidi="es-ES"/>
      </w:rPr>
    </w:lvl>
    <w:lvl w:ilvl="4">
      <w:start w:val="0"/>
      <w:numFmt w:val="bullet"/>
      <w:lvlText w:val="•"/>
      <w:lvlJc w:val="left"/>
      <w:pPr>
        <w:ind w:left="4800" w:hanging="720"/>
      </w:pPr>
      <w:rPr>
        <w:rFonts w:hint="default"/>
        <w:lang w:val="es-ES" w:eastAsia="es-ES" w:bidi="es-ES"/>
      </w:rPr>
    </w:lvl>
    <w:lvl w:ilvl="5">
      <w:start w:val="0"/>
      <w:numFmt w:val="bullet"/>
      <w:lvlText w:val="•"/>
      <w:lvlJc w:val="left"/>
      <w:pPr>
        <w:ind w:left="5701" w:hanging="720"/>
      </w:pPr>
      <w:rPr>
        <w:rFonts w:hint="default"/>
        <w:lang w:val="es-ES" w:eastAsia="es-ES" w:bidi="es-ES"/>
      </w:rPr>
    </w:lvl>
    <w:lvl w:ilvl="6">
      <w:start w:val="0"/>
      <w:numFmt w:val="bullet"/>
      <w:lvlText w:val="•"/>
      <w:lvlJc w:val="left"/>
      <w:pPr>
        <w:ind w:left="6601" w:hanging="720"/>
      </w:pPr>
      <w:rPr>
        <w:rFonts w:hint="default"/>
        <w:lang w:val="es-ES" w:eastAsia="es-ES" w:bidi="es-ES"/>
      </w:rPr>
    </w:lvl>
    <w:lvl w:ilvl="7">
      <w:start w:val="0"/>
      <w:numFmt w:val="bullet"/>
      <w:lvlText w:val="•"/>
      <w:lvlJc w:val="left"/>
      <w:pPr>
        <w:ind w:left="7501" w:hanging="720"/>
      </w:pPr>
      <w:rPr>
        <w:rFonts w:hint="default"/>
        <w:lang w:val="es-ES" w:eastAsia="es-ES" w:bidi="es-ES"/>
      </w:rPr>
    </w:lvl>
    <w:lvl w:ilvl="8">
      <w:start w:val="0"/>
      <w:numFmt w:val="bullet"/>
      <w:lvlText w:val="•"/>
      <w:lvlJc w:val="left"/>
      <w:pPr>
        <w:ind w:left="8401" w:hanging="720"/>
      </w:pPr>
      <w:rPr>
        <w:rFonts w:hint="default"/>
        <w:lang w:val="es-ES" w:eastAsia="es-ES" w:bidi="es-ES"/>
      </w:rPr>
    </w:lvl>
  </w:abstractNum>
  <w:abstractNum w:abstractNumId="1">
    <w:multiLevelType w:val="hybridMultilevel"/>
    <w:lvl w:ilvl="0">
      <w:start w:val="1"/>
      <w:numFmt w:val="upperRoman"/>
      <w:lvlText w:val="%1."/>
      <w:lvlJc w:val="left"/>
      <w:pPr>
        <w:ind w:left="1192" w:hanging="720"/>
        <w:jc w:val="left"/>
      </w:pPr>
      <w:rPr>
        <w:rFonts w:hint="default" w:ascii="Century Gothic" w:hAnsi="Century Gothic" w:eastAsia="Century Gothic" w:cs="Century Gothic"/>
        <w:b/>
        <w:bCs/>
        <w:spacing w:val="-5"/>
        <w:w w:val="99"/>
        <w:sz w:val="24"/>
        <w:szCs w:val="24"/>
        <w:lang w:val="es-ES" w:eastAsia="es-ES" w:bidi="es-ES"/>
      </w:rPr>
    </w:lvl>
    <w:lvl w:ilvl="1">
      <w:start w:val="0"/>
      <w:numFmt w:val="bullet"/>
      <w:lvlText w:val="•"/>
      <w:lvlJc w:val="left"/>
      <w:pPr>
        <w:ind w:left="2100" w:hanging="720"/>
      </w:pPr>
      <w:rPr>
        <w:rFonts w:hint="default"/>
        <w:lang w:val="es-ES" w:eastAsia="es-ES" w:bidi="es-ES"/>
      </w:rPr>
    </w:lvl>
    <w:lvl w:ilvl="2">
      <w:start w:val="0"/>
      <w:numFmt w:val="bullet"/>
      <w:lvlText w:val="•"/>
      <w:lvlJc w:val="left"/>
      <w:pPr>
        <w:ind w:left="3000" w:hanging="720"/>
      </w:pPr>
      <w:rPr>
        <w:rFonts w:hint="default"/>
        <w:lang w:val="es-ES" w:eastAsia="es-ES" w:bidi="es-ES"/>
      </w:rPr>
    </w:lvl>
    <w:lvl w:ilvl="3">
      <w:start w:val="0"/>
      <w:numFmt w:val="bullet"/>
      <w:lvlText w:val="•"/>
      <w:lvlJc w:val="left"/>
      <w:pPr>
        <w:ind w:left="3900" w:hanging="720"/>
      </w:pPr>
      <w:rPr>
        <w:rFonts w:hint="default"/>
        <w:lang w:val="es-ES" w:eastAsia="es-ES" w:bidi="es-ES"/>
      </w:rPr>
    </w:lvl>
    <w:lvl w:ilvl="4">
      <w:start w:val="0"/>
      <w:numFmt w:val="bullet"/>
      <w:lvlText w:val="•"/>
      <w:lvlJc w:val="left"/>
      <w:pPr>
        <w:ind w:left="4800" w:hanging="720"/>
      </w:pPr>
      <w:rPr>
        <w:rFonts w:hint="default"/>
        <w:lang w:val="es-ES" w:eastAsia="es-ES" w:bidi="es-ES"/>
      </w:rPr>
    </w:lvl>
    <w:lvl w:ilvl="5">
      <w:start w:val="0"/>
      <w:numFmt w:val="bullet"/>
      <w:lvlText w:val="•"/>
      <w:lvlJc w:val="left"/>
      <w:pPr>
        <w:ind w:left="5701" w:hanging="720"/>
      </w:pPr>
      <w:rPr>
        <w:rFonts w:hint="default"/>
        <w:lang w:val="es-ES" w:eastAsia="es-ES" w:bidi="es-ES"/>
      </w:rPr>
    </w:lvl>
    <w:lvl w:ilvl="6">
      <w:start w:val="0"/>
      <w:numFmt w:val="bullet"/>
      <w:lvlText w:val="•"/>
      <w:lvlJc w:val="left"/>
      <w:pPr>
        <w:ind w:left="6601" w:hanging="720"/>
      </w:pPr>
      <w:rPr>
        <w:rFonts w:hint="default"/>
        <w:lang w:val="es-ES" w:eastAsia="es-ES" w:bidi="es-ES"/>
      </w:rPr>
    </w:lvl>
    <w:lvl w:ilvl="7">
      <w:start w:val="0"/>
      <w:numFmt w:val="bullet"/>
      <w:lvlText w:val="•"/>
      <w:lvlJc w:val="left"/>
      <w:pPr>
        <w:ind w:left="7501" w:hanging="720"/>
      </w:pPr>
      <w:rPr>
        <w:rFonts w:hint="default"/>
        <w:lang w:val="es-ES" w:eastAsia="es-ES" w:bidi="es-ES"/>
      </w:rPr>
    </w:lvl>
    <w:lvl w:ilvl="8">
      <w:start w:val="0"/>
      <w:numFmt w:val="bullet"/>
      <w:lvlText w:val="•"/>
      <w:lvlJc w:val="left"/>
      <w:pPr>
        <w:ind w:left="8401" w:hanging="720"/>
      </w:pPr>
      <w:rPr>
        <w:rFonts w:hint="default"/>
        <w:lang w:val="es-ES" w:eastAsia="es-ES" w:bidi="es-ES"/>
      </w:rPr>
    </w:lvl>
  </w:abstractNum>
  <w:abstractNum w:abstractNumId="0">
    <w:multiLevelType w:val="hybridMultilevel"/>
    <w:lvl w:ilvl="0">
      <w:start w:val="1"/>
      <w:numFmt w:val="upperRoman"/>
      <w:lvlText w:val="%1."/>
      <w:lvlJc w:val="left"/>
      <w:pPr>
        <w:ind w:left="1192" w:hanging="720"/>
        <w:jc w:val="left"/>
      </w:pPr>
      <w:rPr>
        <w:rFonts w:hint="default" w:ascii="Century Gothic" w:hAnsi="Century Gothic" w:eastAsia="Century Gothic" w:cs="Century Gothic"/>
        <w:b/>
        <w:bCs/>
        <w:spacing w:val="-6"/>
        <w:w w:val="99"/>
        <w:sz w:val="24"/>
        <w:szCs w:val="24"/>
        <w:lang w:val="es-ES" w:eastAsia="es-ES" w:bidi="es-ES"/>
      </w:rPr>
    </w:lvl>
    <w:lvl w:ilvl="1">
      <w:start w:val="0"/>
      <w:numFmt w:val="bullet"/>
      <w:lvlText w:val="•"/>
      <w:lvlJc w:val="left"/>
      <w:pPr>
        <w:ind w:left="2100" w:hanging="720"/>
      </w:pPr>
      <w:rPr>
        <w:rFonts w:hint="default"/>
        <w:lang w:val="es-ES" w:eastAsia="es-ES" w:bidi="es-ES"/>
      </w:rPr>
    </w:lvl>
    <w:lvl w:ilvl="2">
      <w:start w:val="0"/>
      <w:numFmt w:val="bullet"/>
      <w:lvlText w:val="•"/>
      <w:lvlJc w:val="left"/>
      <w:pPr>
        <w:ind w:left="3000" w:hanging="720"/>
      </w:pPr>
      <w:rPr>
        <w:rFonts w:hint="default"/>
        <w:lang w:val="es-ES" w:eastAsia="es-ES" w:bidi="es-ES"/>
      </w:rPr>
    </w:lvl>
    <w:lvl w:ilvl="3">
      <w:start w:val="0"/>
      <w:numFmt w:val="bullet"/>
      <w:lvlText w:val="•"/>
      <w:lvlJc w:val="left"/>
      <w:pPr>
        <w:ind w:left="3900" w:hanging="720"/>
      </w:pPr>
      <w:rPr>
        <w:rFonts w:hint="default"/>
        <w:lang w:val="es-ES" w:eastAsia="es-ES" w:bidi="es-ES"/>
      </w:rPr>
    </w:lvl>
    <w:lvl w:ilvl="4">
      <w:start w:val="0"/>
      <w:numFmt w:val="bullet"/>
      <w:lvlText w:val="•"/>
      <w:lvlJc w:val="left"/>
      <w:pPr>
        <w:ind w:left="4800" w:hanging="720"/>
      </w:pPr>
      <w:rPr>
        <w:rFonts w:hint="default"/>
        <w:lang w:val="es-ES" w:eastAsia="es-ES" w:bidi="es-ES"/>
      </w:rPr>
    </w:lvl>
    <w:lvl w:ilvl="5">
      <w:start w:val="0"/>
      <w:numFmt w:val="bullet"/>
      <w:lvlText w:val="•"/>
      <w:lvlJc w:val="left"/>
      <w:pPr>
        <w:ind w:left="5701" w:hanging="720"/>
      </w:pPr>
      <w:rPr>
        <w:rFonts w:hint="default"/>
        <w:lang w:val="es-ES" w:eastAsia="es-ES" w:bidi="es-ES"/>
      </w:rPr>
    </w:lvl>
    <w:lvl w:ilvl="6">
      <w:start w:val="0"/>
      <w:numFmt w:val="bullet"/>
      <w:lvlText w:val="•"/>
      <w:lvlJc w:val="left"/>
      <w:pPr>
        <w:ind w:left="6601" w:hanging="720"/>
      </w:pPr>
      <w:rPr>
        <w:rFonts w:hint="default"/>
        <w:lang w:val="es-ES" w:eastAsia="es-ES" w:bidi="es-ES"/>
      </w:rPr>
    </w:lvl>
    <w:lvl w:ilvl="7">
      <w:start w:val="0"/>
      <w:numFmt w:val="bullet"/>
      <w:lvlText w:val="•"/>
      <w:lvlJc w:val="left"/>
      <w:pPr>
        <w:ind w:left="7501" w:hanging="720"/>
      </w:pPr>
      <w:rPr>
        <w:rFonts w:hint="default"/>
        <w:lang w:val="es-ES" w:eastAsia="es-ES" w:bidi="es-ES"/>
      </w:rPr>
    </w:lvl>
    <w:lvl w:ilvl="8">
      <w:start w:val="0"/>
      <w:numFmt w:val="bullet"/>
      <w:lvlText w:val="•"/>
      <w:lvlJc w:val="left"/>
      <w:pPr>
        <w:ind w:left="8401" w:hanging="720"/>
      </w:pPr>
      <w:rPr>
        <w:rFonts w:hint="default"/>
        <w:lang w:val="es-ES" w:eastAsia="es-ES" w:bidi="es-E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s-ES" w:eastAsia="es-ES" w:bidi="es-ES"/>
    </w:rPr>
  </w:style>
  <w:style w:styleId="TOC1" w:type="paragraph">
    <w:name w:val="TOC 1"/>
    <w:basedOn w:val="Normal"/>
    <w:uiPriority w:val="1"/>
    <w:qFormat/>
    <w:pPr>
      <w:spacing w:before="283"/>
      <w:ind w:right="16"/>
      <w:jc w:val="center"/>
    </w:pPr>
    <w:rPr>
      <w:rFonts w:ascii="Arial" w:hAnsi="Arial" w:eastAsia="Arial" w:cs="Arial"/>
      <w:sz w:val="24"/>
      <w:szCs w:val="24"/>
      <w:lang w:val="es-ES" w:eastAsia="es-ES" w:bidi="es-ES"/>
    </w:rPr>
  </w:style>
  <w:style w:styleId="TOC2" w:type="paragraph">
    <w:name w:val="TOC 2"/>
    <w:basedOn w:val="Normal"/>
    <w:uiPriority w:val="1"/>
    <w:qFormat/>
    <w:pPr>
      <w:spacing w:before="283"/>
      <w:ind w:left="101" w:right="118"/>
      <w:jc w:val="center"/>
    </w:pPr>
    <w:rPr>
      <w:rFonts w:ascii="Arial" w:hAnsi="Arial" w:eastAsia="Arial" w:cs="Arial"/>
      <w:sz w:val="24"/>
      <w:szCs w:val="24"/>
      <w:lang w:val="es-ES" w:eastAsia="es-ES" w:bidi="es-ES"/>
    </w:rPr>
  </w:style>
  <w:style w:styleId="BodyText" w:type="paragraph">
    <w:name w:val="Body Text"/>
    <w:basedOn w:val="Normal"/>
    <w:uiPriority w:val="1"/>
    <w:qFormat/>
    <w:pPr/>
    <w:rPr>
      <w:rFonts w:ascii="Century Gothic" w:hAnsi="Century Gothic" w:eastAsia="Century Gothic" w:cs="Century Gothic"/>
      <w:sz w:val="24"/>
      <w:szCs w:val="24"/>
      <w:lang w:val="es-ES" w:eastAsia="es-ES" w:bidi="es-ES"/>
    </w:rPr>
  </w:style>
  <w:style w:styleId="Heading1" w:type="paragraph">
    <w:name w:val="Heading 1"/>
    <w:basedOn w:val="Normal"/>
    <w:uiPriority w:val="1"/>
    <w:qFormat/>
    <w:pPr>
      <w:ind w:left="1730" w:right="1730"/>
      <w:jc w:val="center"/>
      <w:outlineLvl w:val="1"/>
    </w:pPr>
    <w:rPr>
      <w:rFonts w:ascii="Century Gothic" w:hAnsi="Century Gothic" w:eastAsia="Century Gothic" w:cs="Century Gothic"/>
      <w:b/>
      <w:bCs/>
      <w:sz w:val="24"/>
      <w:szCs w:val="24"/>
      <w:lang w:val="es-ES" w:eastAsia="es-ES" w:bidi="es-ES"/>
    </w:rPr>
  </w:style>
  <w:style w:styleId="ListParagraph" w:type="paragraph">
    <w:name w:val="List Paragraph"/>
    <w:basedOn w:val="Normal"/>
    <w:uiPriority w:val="1"/>
    <w:qFormat/>
    <w:pPr>
      <w:ind w:left="1192" w:hanging="720"/>
      <w:jc w:val="both"/>
    </w:pPr>
    <w:rPr>
      <w:rFonts w:ascii="Century Gothic" w:hAnsi="Century Gothic" w:eastAsia="Century Gothic" w:cs="Century Gothic"/>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2019-07-15T18:18:41Z</dcterms:created>
  <dcterms:modified xsi:type="dcterms:W3CDTF">2019-07-15T18:18:41Z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2012-01-03T00:00:00Z</vt:filetime>
  </property>
  <property fmtid="{D5CDD505-2E9C-101B-9397-08002B2CF9AE}" pid="3" name="Creator">
    <vt:lpwstr>Acrobat PDFMaker 9.0 para Word</vt:lpwstr>
  </property>
  <property fmtid="{D5CDD505-2E9C-101B-9397-08002B2CF9AE}" pid="4" name="LastSaved">
    <vt:filetime>2019-07-15T00:00:00Z</vt:filetime>
  </property>
</Properties>
</file>